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1600B">
      <w:pPr>
        <w:adjustRightInd w:val="0"/>
        <w:snapToGrid w:val="0"/>
        <w:spacing w:line="288" w:lineRule="auto"/>
        <w:jc w:val="left"/>
        <w:rPr>
          <w:rStyle w:val="26"/>
          <w:rFonts w:hint="eastAsia" w:ascii="黑体" w:hAnsi="黑体" w:eastAsia="黑体"/>
          <w:b w:val="0"/>
          <w:color w:val="000000" w:themeColor="text1"/>
          <w:sz w:val="32"/>
          <w:szCs w:val="32"/>
          <w14:textFill>
            <w14:solidFill>
              <w14:schemeClr w14:val="tx1"/>
            </w14:solidFill>
          </w14:textFill>
        </w:rPr>
      </w:pPr>
      <w:r>
        <w:rPr>
          <w:rStyle w:val="26"/>
          <w:rFonts w:hint="eastAsia" w:ascii="黑体" w:hAnsi="黑体" w:eastAsia="黑体"/>
          <w:b w:val="0"/>
          <w:color w:val="000000" w:themeColor="text1"/>
          <w:sz w:val="32"/>
          <w:szCs w:val="32"/>
          <w14:textFill>
            <w14:solidFill>
              <w14:schemeClr w14:val="tx1"/>
            </w14:solidFill>
          </w14:textFill>
        </w:rPr>
        <w:t>附件</w:t>
      </w:r>
      <w:r>
        <w:rPr>
          <w:rStyle w:val="26"/>
          <w:rFonts w:hint="eastAsia" w:eastAsia="黑体"/>
          <w:b w:val="0"/>
          <w:color w:val="000000" w:themeColor="text1"/>
          <w:sz w:val="32"/>
          <w:szCs w:val="32"/>
          <w14:textFill>
            <w14:solidFill>
              <w14:schemeClr w14:val="tx1"/>
            </w14:solidFill>
          </w14:textFill>
        </w:rPr>
        <w:t>6</w:t>
      </w:r>
    </w:p>
    <w:p w14:paraId="5E9E538C">
      <w:pPr>
        <w:adjustRightInd w:val="0"/>
        <w:snapToGrid w:val="0"/>
        <w:spacing w:line="288" w:lineRule="auto"/>
        <w:jc w:val="center"/>
        <w:rPr>
          <w:rFonts w:hint="eastAsia" w:ascii="黑体" w:hAnsi="黑体" w:eastAsia="黑体" w:cs="黑体"/>
          <w:color w:val="000000" w:themeColor="text1"/>
          <w:sz w:val="56"/>
          <w:szCs w:val="56"/>
          <w14:textFill>
            <w14:solidFill>
              <w14:schemeClr w14:val="tx1"/>
            </w14:solidFill>
          </w14:textFill>
        </w:rPr>
      </w:pPr>
    </w:p>
    <w:p w14:paraId="7AF7FB9F">
      <w:pPr>
        <w:adjustRightInd w:val="0"/>
        <w:snapToGrid w:val="0"/>
        <w:spacing w:line="288" w:lineRule="auto"/>
        <w:jc w:val="center"/>
        <w:rPr>
          <w:rFonts w:hint="eastAsia" w:ascii="黑体" w:hAnsi="黑体" w:eastAsia="黑体" w:cs="黑体"/>
          <w:color w:val="000000" w:themeColor="text1"/>
          <w:sz w:val="56"/>
          <w:szCs w:val="56"/>
          <w14:textFill>
            <w14:solidFill>
              <w14:schemeClr w14:val="tx1"/>
            </w14:solidFill>
          </w14:textFill>
        </w:rPr>
      </w:pPr>
    </w:p>
    <w:p w14:paraId="167CF3D5">
      <w:pPr>
        <w:adjustRightInd w:val="0"/>
        <w:snapToGrid w:val="0"/>
        <w:spacing w:line="288" w:lineRule="auto"/>
        <w:jc w:val="center"/>
        <w:rPr>
          <w:rFonts w:hint="eastAsia" w:ascii="黑体" w:hAnsi="黑体" w:eastAsia="黑体" w:cs="黑体"/>
          <w:color w:val="000000" w:themeColor="text1"/>
          <w:sz w:val="56"/>
          <w:szCs w:val="56"/>
          <w14:textFill>
            <w14:solidFill>
              <w14:schemeClr w14:val="tx1"/>
            </w14:solidFill>
          </w14:textFill>
        </w:rPr>
      </w:pPr>
    </w:p>
    <w:p w14:paraId="52A2E99A">
      <w:pPr>
        <w:spacing w:line="480" w:lineRule="auto"/>
        <w:jc w:val="center"/>
        <w:rPr>
          <w:rFonts w:ascii="Times New Roman" w:hAnsi="Times New Roman" w:eastAsia="方正小标宋简体" w:cs="Times New Roman"/>
          <w:sz w:val="60"/>
          <w:szCs w:val="60"/>
        </w:rPr>
      </w:pPr>
      <w:bookmarkStart w:id="67" w:name="_GoBack"/>
      <w:r>
        <w:rPr>
          <w:rFonts w:hint="eastAsia" w:ascii="Times New Roman" w:hAnsi="Times New Roman" w:eastAsia="方正小标宋简体" w:cs="Times New Roman"/>
          <w:sz w:val="60"/>
          <w:szCs w:val="60"/>
        </w:rPr>
        <w:t>防晒化妆品质量控制要求研究技术指导原则（试行）</w:t>
      </w:r>
      <w:bookmarkEnd w:id="67"/>
    </w:p>
    <w:p w14:paraId="4EE88DC3">
      <w:pPr>
        <w:snapToGrid w:val="0"/>
        <w:spacing w:line="360" w:lineRule="auto"/>
        <w:jc w:val="center"/>
        <w:rPr>
          <w:rFonts w:hint="eastAsia" w:ascii="黑体" w:hAnsi="黑体" w:eastAsia="黑体" w:cs="黑体"/>
          <w:bCs/>
          <w:color w:val="000000" w:themeColor="text1"/>
          <w:sz w:val="48"/>
          <w:szCs w:val="48"/>
          <w14:textFill>
            <w14:solidFill>
              <w14:schemeClr w14:val="tx1"/>
            </w14:solidFill>
          </w14:textFill>
        </w:rPr>
      </w:pPr>
    </w:p>
    <w:p w14:paraId="4A93635B">
      <w:pPr>
        <w:snapToGrid w:val="0"/>
        <w:spacing w:line="360" w:lineRule="auto"/>
        <w:jc w:val="center"/>
        <w:rPr>
          <w:rFonts w:hint="eastAsia" w:ascii="黑体" w:hAnsi="黑体" w:eastAsia="黑体" w:cs="黑体"/>
          <w:bCs/>
          <w:color w:val="000000" w:themeColor="text1"/>
          <w:sz w:val="48"/>
          <w:szCs w:val="48"/>
          <w14:textFill>
            <w14:solidFill>
              <w14:schemeClr w14:val="tx1"/>
            </w14:solidFill>
          </w14:textFill>
        </w:rPr>
      </w:pPr>
    </w:p>
    <w:p w14:paraId="13577B05">
      <w:pPr>
        <w:snapToGrid w:val="0"/>
        <w:spacing w:line="360" w:lineRule="auto"/>
        <w:jc w:val="center"/>
        <w:rPr>
          <w:rFonts w:hint="eastAsia" w:ascii="黑体" w:hAnsi="黑体" w:eastAsia="黑体" w:cs="黑体"/>
          <w:b/>
          <w:bCs/>
          <w:color w:val="000000" w:themeColor="text1"/>
          <w:sz w:val="48"/>
          <w:szCs w:val="48"/>
          <w14:textFill>
            <w14:solidFill>
              <w14:schemeClr w14:val="tx1"/>
            </w14:solidFill>
          </w14:textFill>
        </w:rPr>
      </w:pPr>
    </w:p>
    <w:p w14:paraId="1E1723F1">
      <w:pPr>
        <w:snapToGrid w:val="0"/>
        <w:spacing w:line="360" w:lineRule="auto"/>
        <w:jc w:val="center"/>
        <w:rPr>
          <w:rFonts w:hint="eastAsia" w:ascii="黑体" w:hAnsi="黑体" w:eastAsia="黑体" w:cs="黑体"/>
          <w:b/>
          <w:bCs/>
          <w:color w:val="000000" w:themeColor="text1"/>
          <w:sz w:val="48"/>
          <w:szCs w:val="48"/>
          <w14:textFill>
            <w14:solidFill>
              <w14:schemeClr w14:val="tx1"/>
            </w14:solidFill>
          </w14:textFill>
        </w:rPr>
      </w:pPr>
    </w:p>
    <w:p w14:paraId="78CAA612">
      <w:pPr>
        <w:snapToGrid w:val="0"/>
        <w:spacing w:line="360" w:lineRule="auto"/>
        <w:rPr>
          <w:rFonts w:hint="eastAsia" w:ascii="仿宋" w:hAnsi="仿宋" w:eastAsia="仿宋" w:cs="仿宋"/>
          <w:color w:val="000000" w:themeColor="text1"/>
          <w:sz w:val="44"/>
          <w:szCs w:val="44"/>
          <w14:textFill>
            <w14:solidFill>
              <w14:schemeClr w14:val="tx1"/>
            </w14:solidFill>
          </w14:textFill>
        </w:rPr>
      </w:pPr>
    </w:p>
    <w:p w14:paraId="1151F25C">
      <w:pPr>
        <w:snapToGrid w:val="0"/>
        <w:spacing w:line="360" w:lineRule="auto"/>
        <w:jc w:val="center"/>
        <w:rPr>
          <w:rFonts w:hint="eastAsia" w:ascii="仿宋" w:hAnsi="仿宋" w:eastAsia="仿宋" w:cs="仿宋"/>
          <w:color w:val="000000" w:themeColor="text1"/>
          <w:sz w:val="44"/>
          <w:szCs w:val="44"/>
          <w14:textFill>
            <w14:solidFill>
              <w14:schemeClr w14:val="tx1"/>
            </w14:solidFill>
          </w14:textFill>
        </w:rPr>
      </w:pPr>
    </w:p>
    <w:p w14:paraId="0FCB639B">
      <w:pPr>
        <w:snapToGrid w:val="0"/>
        <w:spacing w:line="360" w:lineRule="auto"/>
        <w:jc w:val="center"/>
        <w:rPr>
          <w:rFonts w:hint="eastAsia" w:ascii="仿宋" w:hAnsi="仿宋" w:eastAsia="仿宋" w:cs="仿宋"/>
          <w:color w:val="000000" w:themeColor="text1"/>
          <w:sz w:val="44"/>
          <w:szCs w:val="44"/>
          <w14:textFill>
            <w14:solidFill>
              <w14:schemeClr w14:val="tx1"/>
            </w14:solidFill>
          </w14:textFill>
        </w:rPr>
      </w:pPr>
    </w:p>
    <w:p w14:paraId="08B8DCEC">
      <w:pPr>
        <w:widowControl/>
        <w:spacing w:after="160" w:line="259" w:lineRule="auto"/>
        <w:jc w:val="center"/>
        <w:rPr>
          <w:rFonts w:hint="eastAsia" w:ascii="黑体" w:hAnsi="黑体" w:eastAsia="黑体" w:cs="黑体"/>
          <w:bCs/>
          <w:color w:val="000000" w:themeColor="text1"/>
          <w:sz w:val="36"/>
          <w:szCs w:val="36"/>
          <w14:textFill>
            <w14:solidFill>
              <w14:schemeClr w14:val="tx1"/>
            </w14:solidFill>
          </w14:textFill>
        </w:rPr>
      </w:pPr>
      <w:r>
        <w:rPr>
          <w:rFonts w:hint="eastAsia" w:ascii="Times New Roman" w:hAnsi="Times New Roman" w:eastAsia="楷体_GB2312" w:cs="Times New Roman"/>
          <w:bCs/>
          <w:color w:val="000000" w:themeColor="text1"/>
          <w:sz w:val="36"/>
          <w:szCs w:val="36"/>
          <w14:textFill>
            <w14:solidFill>
              <w14:schemeClr w14:val="tx1"/>
            </w14:solidFill>
          </w14:textFill>
        </w:rPr>
        <w:t>中国食品药品检定研究院</w:t>
      </w:r>
      <w:r>
        <w:rPr>
          <w:rFonts w:hint="eastAsia" w:ascii="黑体" w:hAnsi="黑体" w:eastAsia="黑体" w:cs="黑体"/>
          <w:bCs/>
          <w:color w:val="000000" w:themeColor="text1"/>
          <w:sz w:val="36"/>
          <w:szCs w:val="36"/>
          <w14:textFill>
            <w14:solidFill>
              <w14:schemeClr w14:val="tx1"/>
            </w14:solidFill>
          </w14:textFill>
        </w:rPr>
        <w:br w:type="page"/>
      </w:r>
    </w:p>
    <w:sdt>
      <w:sdtPr>
        <w:rPr>
          <w:rFonts w:asciiTheme="minorHAnsi" w:hAnsiTheme="minorHAnsi" w:eastAsiaTheme="minorEastAsia" w:cstheme="minorBidi"/>
          <w:b w:val="0"/>
          <w:bCs w:val="0"/>
          <w:color w:val="000000" w:themeColor="text1"/>
          <w:kern w:val="2"/>
          <w:sz w:val="21"/>
          <w:szCs w:val="24"/>
          <w:lang w:val="zh-CN"/>
          <w14:textFill>
            <w14:solidFill>
              <w14:schemeClr w14:val="tx1"/>
            </w14:solidFill>
          </w14:textFill>
        </w:rPr>
        <w:id w:val="-1708335153"/>
        <w:docPartObj>
          <w:docPartGallery w:val="Table of Contents"/>
          <w:docPartUnique/>
        </w:docPartObj>
      </w:sdtPr>
      <w:sdtEndPr>
        <w:rPr>
          <w:rFonts w:asciiTheme="minorHAnsi" w:hAnsiTheme="minorHAnsi" w:eastAsiaTheme="minorEastAsia" w:cstheme="minorBidi"/>
          <w:b w:val="0"/>
          <w:bCs w:val="0"/>
          <w:color w:val="000000" w:themeColor="text1"/>
          <w:kern w:val="2"/>
          <w:sz w:val="28"/>
          <w:szCs w:val="28"/>
          <w:lang w:val="zh-CN"/>
          <w14:textFill>
            <w14:solidFill>
              <w14:schemeClr w14:val="tx1"/>
            </w14:solidFill>
          </w14:textFill>
        </w:rPr>
      </w:sdtEndPr>
      <w:sdtContent>
        <w:p w14:paraId="6DE0F1EC">
          <w:pPr>
            <w:pStyle w:val="43"/>
            <w:jc w:val="center"/>
            <w:rPr>
              <w:color w:val="000000" w:themeColor="text1"/>
              <w14:textFill>
                <w14:solidFill>
                  <w14:schemeClr w14:val="tx1"/>
                </w14:solidFill>
              </w14:textFill>
            </w:rPr>
          </w:pPr>
          <w:bookmarkStart w:id="0" w:name="_Toc3233"/>
          <w:bookmarkStart w:id="1" w:name="_Toc7123"/>
          <w:bookmarkStart w:id="2" w:name="_Toc126342740"/>
          <w:bookmarkStart w:id="3" w:name="_Toc27623"/>
          <w:bookmarkStart w:id="4" w:name="_Toc3166"/>
          <w:bookmarkStart w:id="5" w:name="_Toc2705"/>
          <w:bookmarkStart w:id="6" w:name="_Toc11108"/>
          <w:r>
            <w:rPr>
              <w:rFonts w:ascii="黑体" w:hAnsi="黑体" w:eastAsia="黑体"/>
              <w:color w:val="000000" w:themeColor="text1"/>
              <w:lang w:val="zh-CN"/>
              <w14:textFill>
                <w14:solidFill>
                  <w14:schemeClr w14:val="tx1"/>
                </w14:solidFill>
              </w14:textFill>
            </w:rPr>
            <w:t>目录</w:t>
          </w:r>
        </w:p>
        <w:p w14:paraId="183B19A7">
          <w:pPr>
            <w:pStyle w:val="10"/>
            <w:rPr>
              <w:rFonts w:ascii="仿宋_GB2312" w:eastAsia="仿宋_GB2312"/>
              <w:sz w:val="28"/>
              <w:szCs w:val="28"/>
              <w14:ligatures w14:val="standardContextual"/>
            </w:rPr>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TOC \o "1-3" \h \z \u </w:instrText>
          </w:r>
          <w:r>
            <w:rPr>
              <w:color w:val="000000" w:themeColor="text1"/>
              <w:sz w:val="28"/>
              <w:szCs w:val="28"/>
              <w14:textFill>
                <w14:solidFill>
                  <w14:schemeClr w14:val="tx1"/>
                </w14:solidFill>
              </w14:textFill>
            </w:rPr>
            <w:fldChar w:fldCharType="separate"/>
          </w:r>
          <w:r>
            <w:fldChar w:fldCharType="begin"/>
          </w:r>
          <w:r>
            <w:instrText xml:space="preserve"> HYPERLINK \l "_Toc224907156" </w:instrText>
          </w:r>
          <w:r>
            <w:fldChar w:fldCharType="separate"/>
          </w:r>
          <w:r>
            <w:rPr>
              <w:rStyle w:val="20"/>
              <w:rFonts w:hint="eastAsia" w:ascii="仿宋_GB2312" w:hAnsi="黑体" w:eastAsia="仿宋_GB2312" w:cs="黑体"/>
              <w:sz w:val="28"/>
              <w:szCs w:val="28"/>
            </w:rPr>
            <w:t>一、前言</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_Toc224907156 \h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2E53D1B1">
          <w:pPr>
            <w:pStyle w:val="10"/>
            <w:rPr>
              <w:rFonts w:ascii="仿宋_GB2312" w:eastAsia="仿宋_GB2312"/>
              <w:sz w:val="28"/>
              <w:szCs w:val="28"/>
              <w14:ligatures w14:val="standardContextual"/>
            </w:rPr>
          </w:pPr>
          <w:r>
            <w:fldChar w:fldCharType="begin"/>
          </w:r>
          <w:r>
            <w:instrText xml:space="preserve"> HYPERLINK \l "_Toc224907157" </w:instrText>
          </w:r>
          <w:r>
            <w:fldChar w:fldCharType="separate"/>
          </w:r>
          <w:r>
            <w:rPr>
              <w:rStyle w:val="20"/>
              <w:rFonts w:hint="eastAsia" w:ascii="仿宋_GB2312" w:hAnsi="黑体" w:eastAsia="仿宋_GB2312" w:cs="黑体"/>
              <w:sz w:val="28"/>
              <w:szCs w:val="28"/>
            </w:rPr>
            <w:t>二、适用范围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_Toc224907157 \h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0A04BB7">
          <w:pPr>
            <w:pStyle w:val="10"/>
            <w:rPr>
              <w:rFonts w:ascii="仿宋_GB2312" w:eastAsia="仿宋_GB2312"/>
              <w:sz w:val="28"/>
              <w:szCs w:val="28"/>
              <w14:ligatures w14:val="standardContextual"/>
            </w:rPr>
          </w:pPr>
          <w:r>
            <w:fldChar w:fldCharType="begin"/>
          </w:r>
          <w:r>
            <w:instrText xml:space="preserve"> HYPERLINK \l "_Toc224907158" </w:instrText>
          </w:r>
          <w:r>
            <w:fldChar w:fldCharType="separate"/>
          </w:r>
          <w:r>
            <w:rPr>
              <w:rStyle w:val="20"/>
              <w:rFonts w:hint="eastAsia" w:ascii="仿宋_GB2312" w:hAnsi="黑体" w:eastAsia="仿宋_GB2312" w:cs="黑体"/>
              <w:sz w:val="28"/>
              <w:szCs w:val="28"/>
            </w:rPr>
            <w:t>三、一般原则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_Toc224907158 \h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0859236">
          <w:pPr>
            <w:pStyle w:val="10"/>
            <w:rPr>
              <w:rFonts w:ascii="仿宋_GB2312" w:eastAsia="仿宋_GB2312"/>
              <w:sz w:val="28"/>
              <w:szCs w:val="28"/>
              <w14:ligatures w14:val="standardContextual"/>
            </w:rPr>
          </w:pPr>
          <w:r>
            <w:fldChar w:fldCharType="begin"/>
          </w:r>
          <w:r>
            <w:instrText xml:space="preserve"> HYPERLINK \l "_Toc224907159" </w:instrText>
          </w:r>
          <w:r>
            <w:fldChar w:fldCharType="separate"/>
          </w:r>
          <w:r>
            <w:rPr>
              <w:rStyle w:val="20"/>
              <w:rFonts w:hint="eastAsia" w:ascii="仿宋_GB2312" w:hAnsi="黑体" w:eastAsia="仿宋_GB2312" w:cs="黑体"/>
              <w:sz w:val="28"/>
              <w:szCs w:val="28"/>
            </w:rPr>
            <w:t>四、主要内容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_Toc224907159 \h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F46D638">
          <w:pPr>
            <w:pStyle w:val="12"/>
            <w:rPr>
              <w:rFonts w:ascii="仿宋_GB2312" w:eastAsia="仿宋_GB2312"/>
              <w:sz w:val="28"/>
              <w:szCs w:val="28"/>
              <w14:ligatures w14:val="standardContextual"/>
            </w:rPr>
          </w:pPr>
          <w:r>
            <w:fldChar w:fldCharType="begin"/>
          </w:r>
          <w:r>
            <w:instrText xml:space="preserve"> HYPERLINK \l "_Toc224907160" </w:instrText>
          </w:r>
          <w:r>
            <w:fldChar w:fldCharType="separate"/>
          </w:r>
          <w:r>
            <w:rPr>
              <w:rStyle w:val="20"/>
              <w:rFonts w:hint="eastAsia" w:ascii="仿宋_GB2312" w:hAnsi="黑体" w:eastAsia="仿宋_GB2312" w:cs="仿宋"/>
              <w:sz w:val="28"/>
              <w:szCs w:val="28"/>
            </w:rPr>
            <w:t>（一）稳定性研究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_Toc224907160 \h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B94E973">
          <w:pPr>
            <w:pStyle w:val="12"/>
            <w:rPr>
              <w:rFonts w:ascii="仿宋_GB2312" w:eastAsia="仿宋_GB2312"/>
              <w:sz w:val="28"/>
              <w:szCs w:val="28"/>
              <w14:ligatures w14:val="standardContextual"/>
            </w:rPr>
          </w:pPr>
          <w:r>
            <w:fldChar w:fldCharType="begin"/>
          </w:r>
          <w:r>
            <w:instrText xml:space="preserve"> HYPERLINK \l "_Toc224907161" </w:instrText>
          </w:r>
          <w:r>
            <w:fldChar w:fldCharType="separate"/>
          </w:r>
          <w:r>
            <w:rPr>
              <w:rStyle w:val="20"/>
              <w:rFonts w:hint="eastAsia" w:ascii="仿宋_GB2312" w:hAnsi="黑体" w:eastAsia="仿宋_GB2312" w:cs="仿宋"/>
              <w:sz w:val="28"/>
              <w:szCs w:val="28"/>
            </w:rPr>
            <w:t>（二）质量控制项目与指标研究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_Toc224907161 \h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ACCD495">
          <w:pPr>
            <w:pStyle w:val="6"/>
            <w:tabs>
              <w:tab w:val="right" w:leader="dot" w:pos="8778"/>
            </w:tabs>
            <w:rPr>
              <w:rFonts w:ascii="仿宋_GB2312" w:eastAsia="仿宋_GB2312"/>
              <w:sz w:val="28"/>
              <w:szCs w:val="28"/>
              <w14:ligatures w14:val="standardContextual"/>
            </w:rPr>
          </w:pPr>
          <w:r>
            <w:fldChar w:fldCharType="begin"/>
          </w:r>
          <w:r>
            <w:instrText xml:space="preserve"> HYPERLINK \l "_Toc224907162" </w:instrText>
          </w:r>
          <w:r>
            <w:fldChar w:fldCharType="separate"/>
          </w:r>
          <w:r>
            <w:rPr>
              <w:rStyle w:val="20"/>
              <w:rFonts w:hint="eastAsia" w:ascii="仿宋_GB2312" w:hAnsi="仿宋" w:eastAsia="仿宋_GB2312" w:cs="仿宋"/>
              <w:sz w:val="28"/>
              <w:szCs w:val="28"/>
            </w:rPr>
            <w:t>1.理化项目和指标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_Toc224907162 \h </w:instrText>
          </w:r>
          <w:r>
            <w:rPr>
              <w:rFonts w:hint="eastAsia" w:ascii="仿宋_GB2312" w:eastAsia="仿宋_GB2312"/>
              <w:sz w:val="28"/>
              <w:szCs w:val="28"/>
            </w:rPr>
            <w:fldChar w:fldCharType="separate"/>
          </w:r>
          <w:r>
            <w:rPr>
              <w:rFonts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F04144C">
          <w:pPr>
            <w:pStyle w:val="6"/>
            <w:tabs>
              <w:tab w:val="right" w:leader="dot" w:pos="8778"/>
            </w:tabs>
            <w:rPr>
              <w:rFonts w:ascii="仿宋_GB2312" w:eastAsia="仿宋_GB2312"/>
              <w:sz w:val="28"/>
              <w:szCs w:val="28"/>
              <w14:ligatures w14:val="standardContextual"/>
            </w:rPr>
          </w:pPr>
          <w:r>
            <w:fldChar w:fldCharType="begin"/>
          </w:r>
          <w:r>
            <w:instrText xml:space="preserve"> HYPERLINK \l "_Toc224907163" </w:instrText>
          </w:r>
          <w:r>
            <w:fldChar w:fldCharType="separate"/>
          </w:r>
          <w:r>
            <w:rPr>
              <w:rStyle w:val="20"/>
              <w:rFonts w:hint="eastAsia" w:ascii="仿宋_GB2312" w:hAnsi="Times New Roman" w:eastAsia="仿宋_GB2312" w:cs="Times New Roman"/>
              <w:sz w:val="28"/>
              <w:szCs w:val="28"/>
            </w:rPr>
            <w:t>2</w:t>
          </w:r>
          <w:r>
            <w:rPr>
              <w:rStyle w:val="20"/>
              <w:rFonts w:hint="eastAsia" w:ascii="仿宋_GB2312" w:hAnsi="仿宋" w:eastAsia="仿宋_GB2312" w:cs="仿宋"/>
              <w:sz w:val="28"/>
              <w:szCs w:val="28"/>
            </w:rPr>
            <w:t>.微生物项目和指标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_Toc224907163 \h </w:instrText>
          </w:r>
          <w:r>
            <w:rPr>
              <w:rFonts w:hint="eastAsia" w:ascii="仿宋_GB2312" w:eastAsia="仿宋_GB2312"/>
              <w:sz w:val="28"/>
              <w:szCs w:val="28"/>
            </w:rPr>
            <w:fldChar w:fldCharType="separate"/>
          </w:r>
          <w:r>
            <w:rPr>
              <w:rFonts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A8B7BFB">
          <w:pPr>
            <w:pStyle w:val="12"/>
            <w:rPr>
              <w:rFonts w:ascii="仿宋_GB2312" w:eastAsia="仿宋_GB2312"/>
              <w:sz w:val="28"/>
              <w:szCs w:val="28"/>
              <w14:ligatures w14:val="standardContextual"/>
            </w:rPr>
          </w:pPr>
          <w:r>
            <w:fldChar w:fldCharType="begin"/>
          </w:r>
          <w:r>
            <w:instrText xml:space="preserve"> HYPERLINK \l "_Toc224907164" </w:instrText>
          </w:r>
          <w:r>
            <w:fldChar w:fldCharType="separate"/>
          </w:r>
          <w:r>
            <w:rPr>
              <w:rStyle w:val="20"/>
              <w:rFonts w:hint="eastAsia" w:ascii="仿宋_GB2312" w:hAnsi="黑体" w:eastAsia="仿宋_GB2312" w:cs="仿宋"/>
              <w:sz w:val="28"/>
              <w:szCs w:val="28"/>
            </w:rPr>
            <w:t>（三）质量管理措施研究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_Toc224907164 \h </w:instrText>
          </w:r>
          <w:r>
            <w:rPr>
              <w:rFonts w:hint="eastAsia" w:ascii="仿宋_GB2312" w:eastAsia="仿宋_GB2312"/>
              <w:sz w:val="28"/>
              <w:szCs w:val="28"/>
            </w:rPr>
            <w:fldChar w:fldCharType="separate"/>
          </w:r>
          <w:r>
            <w:rPr>
              <w:rFonts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742013E3">
          <w:pPr>
            <w:pStyle w:val="6"/>
            <w:tabs>
              <w:tab w:val="right" w:leader="dot" w:pos="8778"/>
            </w:tabs>
            <w:rPr>
              <w:rFonts w:ascii="仿宋_GB2312" w:eastAsia="仿宋_GB2312"/>
              <w:sz w:val="28"/>
              <w:szCs w:val="28"/>
              <w14:ligatures w14:val="standardContextual"/>
            </w:rPr>
          </w:pPr>
          <w:r>
            <w:fldChar w:fldCharType="begin"/>
          </w:r>
          <w:r>
            <w:instrText xml:space="preserve"> HYPERLINK \l "_Toc224907165" </w:instrText>
          </w:r>
          <w:r>
            <w:fldChar w:fldCharType="separate"/>
          </w:r>
          <w:r>
            <w:rPr>
              <w:rStyle w:val="20"/>
              <w:rFonts w:hint="eastAsia" w:ascii="仿宋_GB2312" w:hAnsi="Times New Roman" w:eastAsia="仿宋_GB2312" w:cs="Times New Roman"/>
              <w:sz w:val="28"/>
              <w:szCs w:val="28"/>
            </w:rPr>
            <w:t>1</w:t>
          </w:r>
          <w:r>
            <w:rPr>
              <w:rStyle w:val="20"/>
              <w:rFonts w:hint="eastAsia" w:ascii="仿宋_GB2312" w:hAnsi="仿宋" w:eastAsia="仿宋_GB2312" w:cs="仿宋"/>
              <w:sz w:val="28"/>
              <w:szCs w:val="28"/>
            </w:rPr>
            <w:t>.检验方式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_Toc224907165 \h </w:instrText>
          </w:r>
          <w:r>
            <w:rPr>
              <w:rFonts w:hint="eastAsia" w:ascii="仿宋_GB2312" w:eastAsia="仿宋_GB2312"/>
              <w:sz w:val="28"/>
              <w:szCs w:val="28"/>
            </w:rPr>
            <w:fldChar w:fldCharType="separate"/>
          </w:r>
          <w:r>
            <w:rPr>
              <w:rFonts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0DA7E527">
          <w:pPr>
            <w:pStyle w:val="6"/>
            <w:tabs>
              <w:tab w:val="right" w:leader="dot" w:pos="8778"/>
            </w:tabs>
            <w:rPr>
              <w:rFonts w:ascii="仿宋_GB2312" w:eastAsia="仿宋_GB2312"/>
              <w:sz w:val="28"/>
              <w:szCs w:val="28"/>
              <w14:ligatures w14:val="standardContextual"/>
            </w:rPr>
          </w:pPr>
          <w:r>
            <w:fldChar w:fldCharType="begin"/>
          </w:r>
          <w:r>
            <w:instrText xml:space="preserve"> HYPERLINK \l "_Toc224907166" </w:instrText>
          </w:r>
          <w:r>
            <w:fldChar w:fldCharType="separate"/>
          </w:r>
          <w:r>
            <w:rPr>
              <w:rStyle w:val="20"/>
              <w:rFonts w:hint="eastAsia" w:ascii="仿宋_GB2312" w:hAnsi="Times New Roman" w:eastAsia="仿宋_GB2312" w:cs="Times New Roman"/>
              <w:sz w:val="28"/>
              <w:szCs w:val="28"/>
            </w:rPr>
            <w:t>2</w:t>
          </w:r>
          <w:r>
            <w:rPr>
              <w:rStyle w:val="20"/>
              <w:rFonts w:hint="eastAsia" w:ascii="仿宋_GB2312" w:hAnsi="仿宋" w:eastAsia="仿宋_GB2312" w:cs="仿宋"/>
              <w:sz w:val="28"/>
              <w:szCs w:val="28"/>
            </w:rPr>
            <w:t>.非检验方式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_Toc224907166 \h </w:instrText>
          </w:r>
          <w:r>
            <w:rPr>
              <w:rFonts w:hint="eastAsia" w:ascii="仿宋_GB2312" w:eastAsia="仿宋_GB2312"/>
              <w:sz w:val="28"/>
              <w:szCs w:val="28"/>
            </w:rPr>
            <w:fldChar w:fldCharType="separate"/>
          </w:r>
          <w:r>
            <w:rPr>
              <w:rFonts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E994493">
          <w:pPr>
            <w:pStyle w:val="10"/>
            <w:rPr>
              <w:color w:val="000000" w:themeColor="text1"/>
              <w:sz w:val="28"/>
              <w:szCs w:val="28"/>
              <w14:textFill>
                <w14:solidFill>
                  <w14:schemeClr w14:val="tx1"/>
                </w14:solidFill>
              </w14:textFill>
            </w:rPr>
          </w:pPr>
          <w:r>
            <w:fldChar w:fldCharType="begin"/>
          </w:r>
          <w:r>
            <w:instrText xml:space="preserve"> HYPERLINK \l "_Toc224907167" </w:instrText>
          </w:r>
          <w:r>
            <w:fldChar w:fldCharType="separate"/>
          </w:r>
          <w:r>
            <w:rPr>
              <w:rStyle w:val="20"/>
              <w:rFonts w:hint="eastAsia" w:ascii="仿宋_GB2312" w:hAnsi="黑体" w:eastAsia="仿宋_GB2312" w:cs="黑体"/>
              <w:sz w:val="28"/>
              <w:szCs w:val="28"/>
            </w:rPr>
            <w:t>五、其他要求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_Toc224907167 \h </w:instrText>
          </w:r>
          <w:r>
            <w:rPr>
              <w:rFonts w:hint="eastAsia" w:ascii="仿宋_GB2312" w:eastAsia="仿宋_GB2312"/>
              <w:sz w:val="28"/>
              <w:szCs w:val="28"/>
            </w:rPr>
            <w:fldChar w:fldCharType="separate"/>
          </w:r>
          <w:r>
            <w:rPr>
              <w:rFonts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r>
            <w:rPr>
              <w:b/>
              <w:bCs/>
              <w:color w:val="000000" w:themeColor="text1"/>
              <w:sz w:val="28"/>
              <w:szCs w:val="28"/>
              <w:lang w:val="zh-CN"/>
              <w14:textFill>
                <w14:solidFill>
                  <w14:schemeClr w14:val="tx1"/>
                </w14:solidFill>
              </w14:textFill>
            </w:rPr>
            <w:fldChar w:fldCharType="end"/>
          </w:r>
        </w:p>
      </w:sdtContent>
    </w:sdt>
    <w:p w14:paraId="2F6D700C">
      <w:r>
        <w:br w:type="page"/>
      </w:r>
    </w:p>
    <w:p w14:paraId="5E916FD6">
      <w:pPr>
        <w:sectPr>
          <w:footerReference r:id="rId4" w:type="first"/>
          <w:footerReference r:id="rId3" w:type="default"/>
          <w:pgSz w:w="11906" w:h="16838"/>
          <w:pgMar w:top="1440" w:right="1800" w:bottom="1440" w:left="1800" w:header="851" w:footer="992" w:gutter="0"/>
          <w:pgNumType w:start="3"/>
          <w:cols w:space="425" w:num="1"/>
          <w:docGrid w:type="lines" w:linePitch="312" w:charSpace="0"/>
        </w:sectPr>
      </w:pPr>
    </w:p>
    <w:p w14:paraId="2E45057B">
      <w:pPr>
        <w:snapToGrid w:val="0"/>
        <w:spacing w:line="360" w:lineRule="auto"/>
        <w:ind w:firstLine="643" w:firstLineChars="200"/>
        <w:outlineLvl w:val="0"/>
        <w:rPr>
          <w:rFonts w:hint="eastAsia" w:ascii="黑体" w:hAnsi="黑体" w:eastAsia="黑体" w:cs="黑体"/>
          <w:b/>
          <w:bCs/>
          <w:color w:val="000000" w:themeColor="text1"/>
          <w:sz w:val="32"/>
          <w:szCs w:val="32"/>
          <w14:textFill>
            <w14:solidFill>
              <w14:schemeClr w14:val="tx1"/>
            </w14:solidFill>
          </w14:textFill>
        </w:rPr>
      </w:pPr>
      <w:bookmarkStart w:id="7" w:name="_Toc224907156"/>
      <w:r>
        <w:rPr>
          <w:rFonts w:hint="eastAsia" w:ascii="黑体" w:hAnsi="黑体" w:eastAsia="黑体" w:cs="黑体"/>
          <w:b/>
          <w:bCs/>
          <w:color w:val="000000" w:themeColor="text1"/>
          <w:sz w:val="32"/>
          <w:szCs w:val="32"/>
          <w14:textFill>
            <w14:solidFill>
              <w14:schemeClr w14:val="tx1"/>
            </w14:solidFill>
          </w14:textFill>
        </w:rPr>
        <w:t>一、前言</w:t>
      </w:r>
      <w:bookmarkEnd w:id="7"/>
    </w:p>
    <w:bookmarkEnd w:id="0"/>
    <w:bookmarkEnd w:id="1"/>
    <w:bookmarkEnd w:id="2"/>
    <w:bookmarkEnd w:id="3"/>
    <w:bookmarkEnd w:id="4"/>
    <w:bookmarkEnd w:id="5"/>
    <w:bookmarkEnd w:id="6"/>
    <w:p w14:paraId="1B1EDD3D">
      <w:pPr>
        <w:snapToGrid w:val="0"/>
        <w:spacing w:line="360" w:lineRule="auto"/>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根据《化妆品监督管理条例》（以下简称《条例》），防晒化妆品属于特殊化妆品，实行注册管理，</w:t>
      </w:r>
      <w:r>
        <w:rPr>
          <w:rFonts w:hint="eastAsia" w:ascii="Times New Roman" w:hAnsi="Times New Roman" w:eastAsia="仿宋" w:cs="Times New Roman"/>
          <w:color w:val="000000" w:themeColor="text1"/>
          <w:sz w:val="32"/>
          <w:szCs w:val="32"/>
          <w14:textFill>
            <w14:solidFill>
              <w14:schemeClr w14:val="tx1"/>
            </w14:solidFill>
          </w14:textFill>
        </w:rPr>
        <w:t>注册人需对防晒化妆品的质量安全负责。</w:t>
      </w:r>
      <w:r>
        <w:rPr>
          <w:rFonts w:ascii="Times New Roman" w:hAnsi="Times New Roman" w:eastAsia="仿宋_GB2312" w:cs="Times New Roman"/>
          <w:color w:val="000000" w:themeColor="text1"/>
          <w:sz w:val="32"/>
          <w:szCs w:val="32"/>
          <w14:textFill>
            <w14:solidFill>
              <w14:schemeClr w14:val="tx1"/>
            </w14:solidFill>
          </w14:textFill>
        </w:rPr>
        <w:t>2021</w:t>
      </w:r>
      <w:r>
        <w:rPr>
          <w:rFonts w:hint="eastAsia" w:ascii="Times New Roman" w:hAnsi="Times New Roman" w:eastAsia="仿宋_GB2312" w:cs="Times New Roman"/>
          <w:color w:val="000000" w:themeColor="text1"/>
          <w:sz w:val="32"/>
          <w:szCs w:val="32"/>
          <w14:textFill>
            <w14:solidFill>
              <w14:schemeClr w14:val="tx1"/>
            </w14:solidFill>
          </w14:textFill>
        </w:rPr>
        <w:t>年1月1日《条例》正式施行，对化妆品的质量安全和监督管理提出更高要求。作为化妆品新法规的新要求，产品执行的标准旨在引导化妆品行业推行“一品一标”，运用标准管理的手段推动产品质量提升。质量控制要求是产品执行的标准中重要内容，</w:t>
      </w:r>
      <w:r>
        <w:rPr>
          <w:rFonts w:hint="eastAsia" w:ascii="仿宋_GB2312" w:hAnsi="仿宋" w:eastAsia="仿宋_GB2312" w:cs="仿宋"/>
          <w:color w:val="000000" w:themeColor="text1"/>
          <w:sz w:val="32"/>
          <w:szCs w:val="32"/>
          <w14:textFill>
            <w14:solidFill>
              <w14:schemeClr w14:val="tx1"/>
            </w14:solidFill>
          </w14:textFill>
        </w:rPr>
        <w:t>为规范和指导防晒化妆品质量控制要求研究，制定本指导原则。</w:t>
      </w:r>
    </w:p>
    <w:p w14:paraId="0A1A25BC">
      <w:pPr>
        <w:snapToGrid w:val="0"/>
        <w:spacing w:line="360" w:lineRule="auto"/>
        <w:ind w:firstLine="640" w:firstLineChars="200"/>
        <w:rPr>
          <w:rFonts w:hint="eastAsia" w:ascii="仿宋" w:hAnsi="仿宋" w:eastAsia="仿宋" w:cs="仿宋"/>
          <w:color w:val="000000" w:themeColor="text1"/>
          <w:sz w:val="28"/>
          <w:szCs w:val="28"/>
          <w14:textFill>
            <w14:solidFill>
              <w14:schemeClr w14:val="tx1"/>
            </w14:solidFill>
          </w14:textFill>
        </w:rPr>
      </w:pPr>
      <w:bookmarkStart w:id="8" w:name="_Hlk207641966"/>
      <w:r>
        <w:rPr>
          <w:rFonts w:hint="eastAsia" w:ascii="仿宋_GB2312" w:hAnsi="仿宋" w:eastAsia="仿宋_GB2312" w:cs="仿宋"/>
          <w:color w:val="000000" w:themeColor="text1"/>
          <w:sz w:val="32"/>
          <w:szCs w:val="32"/>
          <w14:textFill>
            <w14:solidFill>
              <w14:schemeClr w14:val="tx1"/>
            </w14:solidFill>
          </w14:textFill>
        </w:rPr>
        <w:t>本指导原则是在</w:t>
      </w:r>
      <w:r>
        <w:rPr>
          <w:rFonts w:hint="eastAsia" w:ascii="Times New Roman" w:hAnsi="Times New Roman" w:eastAsia="仿宋_GB2312" w:cs="Times New Roman"/>
          <w:color w:val="000000" w:themeColor="text1"/>
          <w:sz w:val="32"/>
          <w:szCs w:val="32"/>
          <w14:textFill>
            <w14:solidFill>
              <w14:schemeClr w14:val="tx1"/>
            </w14:solidFill>
          </w14:textFill>
        </w:rPr>
        <w:t>现行</w:t>
      </w:r>
      <w:r>
        <w:rPr>
          <w:rFonts w:hint="eastAsia" w:eastAsia="仿宋_GB2312"/>
          <w:color w:val="000000" w:themeColor="text1"/>
          <w:sz w:val="32"/>
          <w:szCs w:val="32"/>
          <w14:textFill>
            <w14:solidFill>
              <w14:schemeClr w14:val="tx1"/>
            </w14:solidFill>
          </w14:textFill>
        </w:rPr>
        <w:t>法律、行政法规、部门规章、强制性国家标准、技术规范</w:t>
      </w:r>
      <w:r>
        <w:rPr>
          <w:rFonts w:hint="eastAsia" w:ascii="仿宋_GB2312" w:hAnsi="仿宋" w:eastAsia="仿宋_GB2312" w:cs="仿宋"/>
          <w:color w:val="000000" w:themeColor="text1"/>
          <w:sz w:val="32"/>
          <w:szCs w:val="32"/>
          <w14:textFill>
            <w14:solidFill>
              <w14:schemeClr w14:val="tx1"/>
            </w14:solidFill>
          </w14:textFill>
        </w:rPr>
        <w:t>以及当前科学认知水平下制定的，随着法规、标准的不断完善以及科学技术的不断发展，相关内容将适时进行调整。</w:t>
      </w:r>
      <w:bookmarkEnd w:id="8"/>
    </w:p>
    <w:p w14:paraId="28265618">
      <w:pPr>
        <w:snapToGrid w:val="0"/>
        <w:spacing w:line="360" w:lineRule="auto"/>
        <w:ind w:firstLine="643" w:firstLineChars="200"/>
        <w:outlineLvl w:val="0"/>
        <w:rPr>
          <w:rFonts w:hint="eastAsia" w:ascii="黑体" w:hAnsi="黑体" w:eastAsia="黑体" w:cs="黑体"/>
          <w:b/>
          <w:bCs/>
          <w:color w:val="000000" w:themeColor="text1"/>
          <w:sz w:val="32"/>
          <w:szCs w:val="32"/>
          <w14:textFill>
            <w14:solidFill>
              <w14:schemeClr w14:val="tx1"/>
            </w14:solidFill>
          </w14:textFill>
        </w:rPr>
      </w:pPr>
      <w:bookmarkStart w:id="9" w:name="_Toc11003"/>
      <w:bookmarkStart w:id="10" w:name="_Toc17658"/>
      <w:bookmarkStart w:id="11" w:name="_Toc126342741"/>
      <w:bookmarkStart w:id="12" w:name="_Toc23843"/>
      <w:bookmarkStart w:id="13" w:name="_Toc18813"/>
      <w:bookmarkStart w:id="14" w:name="_Toc11277"/>
      <w:bookmarkStart w:id="15" w:name="_Toc28763"/>
      <w:bookmarkStart w:id="16" w:name="_Toc224907157"/>
      <w:r>
        <w:rPr>
          <w:rFonts w:hint="eastAsia" w:ascii="黑体" w:hAnsi="黑体" w:eastAsia="黑体" w:cs="黑体"/>
          <w:b/>
          <w:bCs/>
          <w:color w:val="000000" w:themeColor="text1"/>
          <w:sz w:val="32"/>
          <w:szCs w:val="32"/>
          <w14:textFill>
            <w14:solidFill>
              <w14:schemeClr w14:val="tx1"/>
            </w14:solidFill>
          </w14:textFill>
        </w:rPr>
        <w:t>二、适用范围</w:t>
      </w:r>
      <w:bookmarkEnd w:id="9"/>
      <w:bookmarkEnd w:id="10"/>
      <w:bookmarkEnd w:id="11"/>
      <w:bookmarkEnd w:id="12"/>
      <w:bookmarkEnd w:id="13"/>
      <w:bookmarkEnd w:id="14"/>
      <w:bookmarkEnd w:id="15"/>
      <w:bookmarkEnd w:id="16"/>
    </w:p>
    <w:p w14:paraId="61C1A46B">
      <w:pPr>
        <w:snapToGrid w:val="0"/>
        <w:spacing w:line="360" w:lineRule="auto"/>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本指导原则适用于防晒化妆品的质量控制要求研究。</w:t>
      </w:r>
      <w:r>
        <w:rPr>
          <w:rFonts w:hint="eastAsia" w:ascii="Times New Roman" w:hAnsi="Times New Roman" w:eastAsia="仿宋" w:cs="Times New Roman"/>
          <w:color w:val="000000" w:themeColor="text1"/>
          <w:sz w:val="32"/>
          <w:szCs w:val="32"/>
          <w14:textFill>
            <w14:solidFill>
              <w14:schemeClr w14:val="tx1"/>
            </w14:solidFill>
          </w14:textFill>
        </w:rPr>
        <w:t>本指导原则</w:t>
      </w:r>
      <w:r>
        <w:rPr>
          <w:rFonts w:hint="eastAsia" w:ascii="仿宋_GB2312" w:hAnsi="仿宋" w:eastAsia="仿宋_GB2312" w:cs="仿宋"/>
          <w:color w:val="000000" w:themeColor="text1"/>
          <w:sz w:val="32"/>
          <w:szCs w:val="32"/>
          <w14:textFill>
            <w14:solidFill>
              <w14:schemeClr w14:val="tx1"/>
            </w14:solidFill>
          </w14:textFill>
        </w:rPr>
        <w:t>所指的产品质量控制要求是指注册资料中的产品执行的标准“微生物和理化指标及其质量控制措施”，具体包括检验项目、指标、质量管理措施和简要说明等内容。</w:t>
      </w:r>
    </w:p>
    <w:p w14:paraId="5CCD8492">
      <w:pPr>
        <w:snapToGrid w:val="0"/>
        <w:spacing w:line="360" w:lineRule="auto"/>
        <w:ind w:firstLine="640" w:firstLineChars="200"/>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注册人应在遵循现行法律、行政法规、强制性国家标准和技术规范的前提下使用本指导原则，如同时符合其他技术指导原则适用范围的，还应参考相应指导原则的技术要求。</w:t>
      </w:r>
    </w:p>
    <w:p w14:paraId="5363BDDD">
      <w:pPr>
        <w:snapToGrid w:val="0"/>
        <w:spacing w:line="360" w:lineRule="auto"/>
        <w:ind w:firstLine="643" w:firstLineChars="200"/>
        <w:outlineLvl w:val="0"/>
        <w:rPr>
          <w:rFonts w:hint="eastAsia" w:ascii="黑体" w:hAnsi="黑体" w:eastAsia="黑体" w:cs="黑体"/>
          <w:b/>
          <w:bCs/>
          <w:color w:val="000000" w:themeColor="text1"/>
          <w:sz w:val="32"/>
          <w:szCs w:val="32"/>
          <w14:textFill>
            <w14:solidFill>
              <w14:schemeClr w14:val="tx1"/>
            </w14:solidFill>
          </w14:textFill>
        </w:rPr>
      </w:pPr>
      <w:bookmarkStart w:id="17" w:name="_Toc224907158"/>
      <w:bookmarkStart w:id="18" w:name="_Hlk207642016"/>
      <w:r>
        <w:rPr>
          <w:rFonts w:hint="eastAsia" w:ascii="黑体" w:hAnsi="黑体" w:eastAsia="黑体" w:cs="黑体"/>
          <w:b/>
          <w:bCs/>
          <w:color w:val="000000" w:themeColor="text1"/>
          <w:sz w:val="32"/>
          <w:szCs w:val="32"/>
          <w14:textFill>
            <w14:solidFill>
              <w14:schemeClr w14:val="tx1"/>
            </w14:solidFill>
          </w14:textFill>
        </w:rPr>
        <w:t>三、一般原则</w:t>
      </w:r>
      <w:bookmarkEnd w:id="17"/>
    </w:p>
    <w:p w14:paraId="3477A58C">
      <w:pPr>
        <w:snapToGrid w:val="0"/>
        <w:spacing w:line="360" w:lineRule="auto"/>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防晒化妆品的质量控制要求研究应在充分考虑原料质量、配方组成、生产工艺、产品稳定性等各个环节影响的基础上，有针对性地制定能有效控制产品质量、安全的项目和指标。质量控制措施应具有可操作性，与生产工艺相适应，并能有效地控制产品批次间质量的稳定性和一致性，确保防晒化妆品的质量安全。</w:t>
      </w:r>
      <w:bookmarkEnd w:id="18"/>
    </w:p>
    <w:p w14:paraId="6D16B2AA">
      <w:pPr>
        <w:snapToGrid w:val="0"/>
        <w:spacing w:line="360" w:lineRule="auto"/>
        <w:ind w:firstLine="643" w:firstLineChars="200"/>
        <w:outlineLvl w:val="0"/>
        <w:rPr>
          <w:rFonts w:hint="eastAsia" w:ascii="黑体" w:hAnsi="黑体" w:eastAsia="黑体" w:cs="黑体"/>
          <w:b/>
          <w:bCs/>
          <w:color w:val="000000" w:themeColor="text1"/>
          <w:sz w:val="32"/>
          <w:szCs w:val="32"/>
          <w14:textFill>
            <w14:solidFill>
              <w14:schemeClr w14:val="tx1"/>
            </w14:solidFill>
          </w14:textFill>
        </w:rPr>
      </w:pPr>
      <w:bookmarkStart w:id="19" w:name="_Toc128570884"/>
      <w:bookmarkStart w:id="20" w:name="_Toc128494797"/>
      <w:bookmarkStart w:id="21" w:name="_Toc126342742"/>
      <w:bookmarkStart w:id="22" w:name="_Toc128494633"/>
      <w:bookmarkStart w:id="23" w:name="_Toc224907159"/>
      <w:bookmarkStart w:id="24" w:name="_Toc79656184"/>
      <w:r>
        <w:rPr>
          <w:rFonts w:hint="eastAsia" w:ascii="黑体" w:hAnsi="黑体" w:eastAsia="黑体" w:cs="黑体"/>
          <w:b/>
          <w:bCs/>
          <w:color w:val="000000" w:themeColor="text1"/>
          <w:sz w:val="32"/>
          <w:szCs w:val="32"/>
          <w14:textFill>
            <w14:solidFill>
              <w14:schemeClr w14:val="tx1"/>
            </w14:solidFill>
          </w14:textFill>
        </w:rPr>
        <w:t>四、</w:t>
      </w:r>
      <w:bookmarkEnd w:id="19"/>
      <w:bookmarkEnd w:id="20"/>
      <w:bookmarkEnd w:id="21"/>
      <w:bookmarkEnd w:id="22"/>
      <w:r>
        <w:rPr>
          <w:rFonts w:hint="eastAsia" w:ascii="黑体" w:hAnsi="黑体" w:eastAsia="黑体" w:cs="黑体"/>
          <w:b/>
          <w:bCs/>
          <w:color w:val="000000" w:themeColor="text1"/>
          <w:sz w:val="32"/>
          <w:szCs w:val="32"/>
          <w14:textFill>
            <w14:solidFill>
              <w14:schemeClr w14:val="tx1"/>
            </w14:solidFill>
          </w14:textFill>
        </w:rPr>
        <w:t>主要内容</w:t>
      </w:r>
      <w:bookmarkEnd w:id="23"/>
    </w:p>
    <w:p w14:paraId="1AD1168D">
      <w:pPr>
        <w:snapToGrid w:val="0"/>
        <w:spacing w:line="360" w:lineRule="auto"/>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防晒化妆品质量控制要求研究主要包括稳定性、质量控制指标、质量管理措施等内容。</w:t>
      </w:r>
    </w:p>
    <w:p w14:paraId="625ADD30">
      <w:pPr>
        <w:snapToGrid w:val="0"/>
        <w:spacing w:line="360" w:lineRule="auto"/>
        <w:ind w:firstLine="640" w:firstLineChars="200"/>
        <w:outlineLvl w:val="1"/>
        <w:rPr>
          <w:rFonts w:hint="eastAsia" w:ascii="楷体_GB2312" w:hAnsi="黑体" w:eastAsia="楷体_GB2312" w:cs="仿宋"/>
          <w:bCs/>
          <w:color w:val="000000" w:themeColor="text1"/>
          <w:sz w:val="32"/>
          <w:szCs w:val="32"/>
          <w14:textFill>
            <w14:solidFill>
              <w14:schemeClr w14:val="tx1"/>
            </w14:solidFill>
          </w14:textFill>
        </w:rPr>
      </w:pPr>
      <w:bookmarkStart w:id="25" w:name="_Toc224907160"/>
      <w:r>
        <w:rPr>
          <w:rFonts w:hint="eastAsia" w:ascii="楷体_GB2312" w:hAnsi="黑体" w:eastAsia="楷体_GB2312" w:cs="仿宋"/>
          <w:bCs/>
          <w:color w:val="000000" w:themeColor="text1"/>
          <w:sz w:val="32"/>
          <w:szCs w:val="32"/>
          <w14:textFill>
            <w14:solidFill>
              <w14:schemeClr w14:val="tx1"/>
            </w14:solidFill>
          </w14:textFill>
        </w:rPr>
        <w:t>（一）稳定性研究</w:t>
      </w:r>
      <w:bookmarkEnd w:id="25"/>
    </w:p>
    <w:p w14:paraId="52E45C98">
      <w:pPr>
        <w:snapToGrid w:val="0"/>
        <w:spacing w:line="360" w:lineRule="auto"/>
        <w:ind w:firstLine="640" w:firstLineChars="200"/>
        <w:rPr>
          <w:rFonts w:hint="eastAsia" w:ascii="仿宋_GB2312" w:hAnsi="仿宋" w:eastAsia="仿宋_GB2312" w:cs="仿宋"/>
          <w:color w:val="000000" w:themeColor="text1"/>
          <w:sz w:val="32"/>
          <w:szCs w:val="32"/>
          <w14:textFill>
            <w14:solidFill>
              <w14:schemeClr w14:val="tx1"/>
            </w14:solidFill>
          </w14:textFill>
        </w:rPr>
      </w:pPr>
      <w:bookmarkStart w:id="26" w:name="OLE_LINK3"/>
      <w:bookmarkStart w:id="27" w:name="OLE_LINK2"/>
      <w:bookmarkStart w:id="28" w:name="_Hlk207642665"/>
      <w:r>
        <w:rPr>
          <w:rFonts w:hint="eastAsia" w:ascii="仿宋_GB2312" w:hAnsi="仿宋" w:eastAsia="仿宋_GB2312" w:cs="仿宋"/>
          <w:color w:val="000000" w:themeColor="text1"/>
          <w:sz w:val="32"/>
          <w:szCs w:val="32"/>
          <w14:textFill>
            <w14:solidFill>
              <w14:schemeClr w14:val="tx1"/>
            </w14:solidFill>
          </w14:textFill>
        </w:rPr>
        <w:t>稳定性研究</w:t>
      </w:r>
      <w:bookmarkEnd w:id="26"/>
      <w:bookmarkEnd w:id="27"/>
      <w:r>
        <w:rPr>
          <w:rFonts w:hint="eastAsia" w:ascii="仿宋_GB2312" w:hAnsi="仿宋" w:eastAsia="仿宋_GB2312" w:cs="仿宋"/>
          <w:color w:val="000000" w:themeColor="text1"/>
          <w:sz w:val="32"/>
          <w:szCs w:val="32"/>
          <w14:textFill>
            <w14:solidFill>
              <w14:schemeClr w14:val="tx1"/>
            </w14:solidFill>
          </w14:textFill>
        </w:rPr>
        <w:t>是产品质量安全研究的重要基础，可为产品使用期限和质量控制指标的设置提供依据。</w:t>
      </w:r>
      <w:r>
        <w:rPr>
          <w:rFonts w:ascii="仿宋_GB2312" w:hAnsi="仿宋" w:eastAsia="仿宋_GB2312" w:cs="仿宋"/>
          <w:color w:val="000000" w:themeColor="text1"/>
          <w:sz w:val="32"/>
          <w:szCs w:val="32"/>
          <w14:textFill>
            <w14:solidFill>
              <w14:schemeClr w14:val="tx1"/>
            </w14:solidFill>
          </w14:textFill>
        </w:rPr>
        <w:t>稳定性研究应当</w:t>
      </w:r>
      <w:r>
        <w:rPr>
          <w:rFonts w:hint="eastAsia" w:ascii="仿宋_GB2312" w:hAnsi="仿宋" w:eastAsia="仿宋_GB2312" w:cs="仿宋"/>
          <w:color w:val="000000" w:themeColor="text1"/>
          <w:sz w:val="32"/>
          <w:szCs w:val="32"/>
          <w14:textFill>
            <w14:solidFill>
              <w14:schemeClr w14:val="tx1"/>
            </w14:solidFill>
          </w14:textFill>
        </w:rPr>
        <w:t>根据产品特性，</w:t>
      </w:r>
      <w:r>
        <w:rPr>
          <w:rFonts w:ascii="仿宋_GB2312" w:hAnsi="仿宋" w:eastAsia="仿宋_GB2312" w:cs="仿宋"/>
          <w:color w:val="000000" w:themeColor="text1"/>
          <w:sz w:val="32"/>
          <w:szCs w:val="32"/>
          <w14:textFill>
            <w14:solidFill>
              <w14:schemeClr w14:val="tx1"/>
            </w14:solidFill>
          </w14:textFill>
        </w:rPr>
        <w:t>选择在保存期间易于变化</w:t>
      </w:r>
      <w:r>
        <w:rPr>
          <w:rFonts w:hint="eastAsia" w:ascii="仿宋_GB2312" w:hAnsi="仿宋" w:eastAsia="仿宋_GB2312" w:cs="仿宋"/>
          <w:color w:val="000000" w:themeColor="text1"/>
          <w:sz w:val="32"/>
          <w:szCs w:val="32"/>
          <w14:textFill>
            <w14:solidFill>
              <w14:schemeClr w14:val="tx1"/>
            </w14:solidFill>
          </w14:textFill>
        </w:rPr>
        <w:t>、可能会</w:t>
      </w:r>
      <w:r>
        <w:rPr>
          <w:rFonts w:ascii="仿宋_GB2312" w:hAnsi="仿宋" w:eastAsia="仿宋_GB2312" w:cs="仿宋"/>
          <w:color w:val="000000" w:themeColor="text1"/>
          <w:sz w:val="32"/>
          <w:szCs w:val="32"/>
          <w14:textFill>
            <w14:solidFill>
              <w14:schemeClr w14:val="tx1"/>
            </w14:solidFill>
          </w14:textFill>
        </w:rPr>
        <w:t>影响</w:t>
      </w:r>
      <w:r>
        <w:rPr>
          <w:rFonts w:hint="eastAsia" w:ascii="仿宋_GB2312" w:hAnsi="仿宋" w:eastAsia="仿宋_GB2312" w:cs="仿宋"/>
          <w:color w:val="000000" w:themeColor="text1"/>
          <w:sz w:val="32"/>
          <w:szCs w:val="32"/>
          <w14:textFill>
            <w14:solidFill>
              <w14:schemeClr w14:val="tx1"/>
            </w14:solidFill>
          </w14:textFill>
        </w:rPr>
        <w:t>产品</w:t>
      </w:r>
      <w:r>
        <w:rPr>
          <w:rFonts w:ascii="仿宋_GB2312" w:hAnsi="仿宋" w:eastAsia="仿宋_GB2312" w:cs="仿宋"/>
          <w:color w:val="000000" w:themeColor="text1"/>
          <w:sz w:val="32"/>
          <w:szCs w:val="32"/>
          <w14:textFill>
            <w14:solidFill>
              <w14:schemeClr w14:val="tx1"/>
            </w14:solidFill>
          </w14:textFill>
        </w:rPr>
        <w:t>质量安全、</w:t>
      </w:r>
      <w:r>
        <w:rPr>
          <w:rFonts w:hint="eastAsia" w:ascii="仿宋_GB2312" w:hAnsi="仿宋" w:eastAsia="仿宋_GB2312" w:cs="仿宋"/>
          <w:color w:val="000000" w:themeColor="text1"/>
          <w:sz w:val="32"/>
          <w:szCs w:val="32"/>
          <w14:textFill>
            <w14:solidFill>
              <w14:schemeClr w14:val="tx1"/>
            </w14:solidFill>
          </w14:textFill>
        </w:rPr>
        <w:t>功效</w:t>
      </w:r>
      <w:r>
        <w:rPr>
          <w:rFonts w:ascii="仿宋_GB2312" w:hAnsi="仿宋" w:eastAsia="仿宋_GB2312" w:cs="仿宋"/>
          <w:color w:val="000000" w:themeColor="text1"/>
          <w:sz w:val="32"/>
          <w:szCs w:val="32"/>
          <w14:textFill>
            <w14:solidFill>
              <w14:schemeClr w14:val="tx1"/>
            </w14:solidFill>
          </w14:textFill>
        </w:rPr>
        <w:t>的项目</w:t>
      </w:r>
      <w:r>
        <w:rPr>
          <w:rFonts w:hint="eastAsia" w:ascii="仿宋_GB2312" w:hAnsi="仿宋" w:eastAsia="仿宋_GB2312" w:cs="仿宋"/>
          <w:color w:val="000000" w:themeColor="text1"/>
          <w:sz w:val="32"/>
          <w:szCs w:val="32"/>
          <w14:textFill>
            <w14:solidFill>
              <w14:schemeClr w14:val="tx1"/>
            </w14:solidFill>
          </w14:textFill>
        </w:rPr>
        <w:t>作为指标</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如产品</w:t>
      </w:r>
      <w:r>
        <w:rPr>
          <w:rFonts w:ascii="仿宋_GB2312" w:hAnsi="仿宋" w:eastAsia="仿宋_GB2312" w:cs="仿宋"/>
          <w:color w:val="000000" w:themeColor="text1"/>
          <w:sz w:val="32"/>
          <w:szCs w:val="32"/>
          <w14:textFill>
            <w14:solidFill>
              <w14:schemeClr w14:val="tx1"/>
            </w14:solidFill>
          </w14:textFill>
        </w:rPr>
        <w:t>性状（颜色等）、</w:t>
      </w:r>
      <w:r>
        <w:rPr>
          <w:rFonts w:hint="eastAsia" w:ascii="仿宋_GB2312" w:hAnsi="仿宋" w:eastAsia="仿宋_GB2312" w:cs="仿宋"/>
          <w:color w:val="000000" w:themeColor="text1"/>
          <w:sz w:val="32"/>
          <w:szCs w:val="32"/>
          <w14:textFill>
            <w14:solidFill>
              <w14:schemeClr w14:val="tx1"/>
            </w14:solidFill>
          </w14:textFill>
        </w:rPr>
        <w:t>微生物、</w:t>
      </w:r>
      <w:bookmarkStart w:id="29" w:name="_Hlk208838087"/>
      <w:r>
        <w:rPr>
          <w:rFonts w:hint="eastAsia" w:ascii="仿宋_GB2312" w:hAnsi="仿宋" w:eastAsia="仿宋_GB2312" w:cs="仿宋"/>
          <w:color w:val="000000" w:themeColor="text1"/>
          <w:sz w:val="32"/>
          <w:szCs w:val="32"/>
          <w14:textFill>
            <w14:solidFill>
              <w14:schemeClr w14:val="tx1"/>
            </w14:solidFill>
          </w14:textFill>
        </w:rPr>
        <w:t>功效成分（化学防晒剂）含量</w:t>
      </w:r>
      <w:bookmarkEnd w:id="29"/>
      <w:r>
        <w:rPr>
          <w:rFonts w:ascii="仿宋_GB2312" w:hAnsi="仿宋" w:eastAsia="仿宋_GB2312" w:cs="仿宋"/>
          <w:color w:val="000000" w:themeColor="text1"/>
          <w:sz w:val="32"/>
          <w:szCs w:val="32"/>
          <w14:textFill>
            <w14:solidFill>
              <w14:schemeClr w14:val="tx1"/>
            </w14:solidFill>
          </w14:textFill>
        </w:rPr>
        <w:t>等</w:t>
      </w:r>
      <w:r>
        <w:rPr>
          <w:rFonts w:hint="eastAsia" w:ascii="仿宋_GB2312" w:hAnsi="仿宋" w:eastAsia="仿宋_GB2312" w:cs="仿宋"/>
          <w:color w:val="000000" w:themeColor="text1"/>
          <w:sz w:val="32"/>
          <w:szCs w:val="32"/>
          <w14:textFill>
            <w14:solidFill>
              <w14:schemeClr w14:val="tx1"/>
            </w14:solidFill>
          </w14:textFill>
        </w:rPr>
        <w:t>，观察这些指标</w:t>
      </w:r>
      <w:r>
        <w:rPr>
          <w:rFonts w:ascii="仿宋_GB2312" w:hAnsi="仿宋" w:eastAsia="仿宋_GB2312" w:cs="仿宋"/>
          <w:color w:val="000000" w:themeColor="text1"/>
          <w:sz w:val="32"/>
          <w:szCs w:val="32"/>
          <w14:textFill>
            <w14:solidFill>
              <w14:schemeClr w14:val="tx1"/>
            </w14:solidFill>
          </w14:textFill>
        </w:rPr>
        <w:t>在温度、湿度、光线等</w:t>
      </w:r>
      <w:r>
        <w:rPr>
          <w:rFonts w:hint="eastAsia" w:ascii="仿宋_GB2312" w:hAnsi="仿宋" w:eastAsia="仿宋_GB2312" w:cs="仿宋"/>
          <w:color w:val="000000" w:themeColor="text1"/>
          <w:sz w:val="32"/>
          <w:szCs w:val="32"/>
          <w14:textFill>
            <w14:solidFill>
              <w14:schemeClr w14:val="tx1"/>
            </w14:solidFill>
          </w14:textFill>
        </w:rPr>
        <w:t>参数</w:t>
      </w:r>
      <w:r>
        <w:rPr>
          <w:rFonts w:ascii="仿宋_GB2312" w:hAnsi="仿宋" w:eastAsia="仿宋_GB2312" w:cs="仿宋"/>
          <w:color w:val="000000" w:themeColor="text1"/>
          <w:sz w:val="32"/>
          <w:szCs w:val="32"/>
          <w14:textFill>
            <w14:solidFill>
              <w14:schemeClr w14:val="tx1"/>
            </w14:solidFill>
          </w14:textFill>
        </w:rPr>
        <w:t>影响下随时间变化的规律。</w:t>
      </w:r>
      <w:r>
        <w:rPr>
          <w:rFonts w:hint="eastAsia" w:ascii="仿宋_GB2312" w:hAnsi="仿宋" w:eastAsia="仿宋_GB2312" w:cs="仿宋"/>
          <w:color w:val="000000" w:themeColor="text1"/>
          <w:sz w:val="32"/>
          <w:szCs w:val="32"/>
          <w14:textFill>
            <w14:solidFill>
              <w14:schemeClr w14:val="tx1"/>
            </w14:solidFill>
          </w14:textFill>
        </w:rPr>
        <w:t>此外，还需充分考虑包装材料对产品质量的影响。</w:t>
      </w:r>
      <w:bookmarkEnd w:id="28"/>
    </w:p>
    <w:p w14:paraId="1DC10B1D">
      <w:pPr>
        <w:snapToGrid w:val="0"/>
        <w:spacing w:line="360" w:lineRule="auto"/>
        <w:ind w:firstLine="640" w:firstLineChars="200"/>
        <w:outlineLvl w:val="1"/>
        <w:rPr>
          <w:rFonts w:hint="eastAsia" w:ascii="楷体_GB2312" w:hAnsi="黑体" w:eastAsia="楷体_GB2312" w:cs="仿宋"/>
          <w:bCs/>
          <w:color w:val="000000" w:themeColor="text1"/>
          <w:sz w:val="32"/>
          <w:szCs w:val="32"/>
          <w14:textFill>
            <w14:solidFill>
              <w14:schemeClr w14:val="tx1"/>
            </w14:solidFill>
          </w14:textFill>
        </w:rPr>
      </w:pPr>
      <w:bookmarkStart w:id="30" w:name="_Toc224907161"/>
      <w:r>
        <w:rPr>
          <w:rFonts w:hint="eastAsia" w:ascii="楷体_GB2312" w:hAnsi="黑体" w:eastAsia="楷体_GB2312" w:cs="仿宋"/>
          <w:bCs/>
          <w:color w:val="000000" w:themeColor="text1"/>
          <w:sz w:val="32"/>
          <w:szCs w:val="32"/>
          <w14:textFill>
            <w14:solidFill>
              <w14:schemeClr w14:val="tx1"/>
            </w14:solidFill>
          </w14:textFill>
        </w:rPr>
        <w:t>（二）质量控制项目与指标研究</w:t>
      </w:r>
      <w:bookmarkEnd w:id="30"/>
    </w:p>
    <w:p w14:paraId="11D40D7D">
      <w:pPr>
        <w:snapToGrid w:val="0"/>
        <w:spacing w:line="360" w:lineRule="auto"/>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在稳定性研究基础上，结合产品配方、生产工艺等，在产品执行的标准“微生物和理化指标及其质量控制措施”中设置科学、合理、可行、能反映产品的安全性和质量可控性的项目和控制指标。</w:t>
      </w:r>
    </w:p>
    <w:p w14:paraId="0F161F7F">
      <w:pPr>
        <w:snapToGrid w:val="0"/>
        <w:spacing w:line="360" w:lineRule="auto"/>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质量控制项目和指标应明确、具体，原则上至少包括《化妆品注册和备案检验工作规范》（以下简称《检验规范》）所规定的检验项目。防晒化妆品的质量控制项目和指标包括有害物质、微生物指标以及功效成分（化学防晒剂）指标。有害物质和微生物的控制指标应符合《化妆品安全技术规范》（以下简称《技术规范》）限值要求</w:t>
      </w:r>
      <w:bookmarkStart w:id="31" w:name="_Hlk207643471"/>
      <w:r>
        <w:rPr>
          <w:rFonts w:hint="eastAsia" w:ascii="仿宋_GB2312" w:hAnsi="仿宋" w:eastAsia="仿宋_GB2312" w:cs="仿宋"/>
          <w:color w:val="000000" w:themeColor="text1"/>
          <w:sz w:val="32"/>
          <w:szCs w:val="32"/>
          <w14:textFill>
            <w14:solidFill>
              <w14:schemeClr w14:val="tx1"/>
            </w14:solidFill>
          </w14:textFill>
        </w:rPr>
        <w:t>。功效成分（化学防晒剂）指标应结合产品配方确定合理的控制范围，以控制产品批次间质量的稳定性和一致性，保证产品质量可控。</w:t>
      </w:r>
      <w:bookmarkEnd w:id="31"/>
    </w:p>
    <w:p w14:paraId="5EC30F9F">
      <w:pPr>
        <w:snapToGrid w:val="0"/>
        <w:spacing w:line="360" w:lineRule="auto"/>
        <w:ind w:firstLine="640" w:firstLineChars="200"/>
        <w:outlineLvl w:val="2"/>
        <w:rPr>
          <w:rFonts w:hint="eastAsia" w:ascii="仿宋_GB2312" w:hAnsi="仿宋" w:eastAsia="仿宋_GB2312" w:cs="仿宋"/>
          <w:bCs/>
          <w:color w:val="000000" w:themeColor="text1"/>
          <w:sz w:val="32"/>
          <w:szCs w:val="32"/>
          <w14:textFill>
            <w14:solidFill>
              <w14:schemeClr w14:val="tx1"/>
            </w14:solidFill>
          </w14:textFill>
        </w:rPr>
      </w:pPr>
      <w:bookmarkStart w:id="32" w:name="_Toc224907162"/>
      <w:r>
        <w:rPr>
          <w:rFonts w:ascii="仿宋_GB2312" w:hAnsi="仿宋" w:eastAsia="仿宋_GB2312" w:cs="仿宋"/>
          <w:bCs/>
          <w:color w:val="000000" w:themeColor="text1"/>
          <w:sz w:val="32"/>
          <w:szCs w:val="32"/>
          <w14:textFill>
            <w14:solidFill>
              <w14:schemeClr w14:val="tx1"/>
            </w14:solidFill>
          </w14:textFill>
        </w:rPr>
        <w:t>1.</w:t>
      </w:r>
      <w:r>
        <w:rPr>
          <w:rFonts w:hint="eastAsia" w:ascii="仿宋_GB2312" w:hAnsi="仿宋" w:eastAsia="仿宋_GB2312" w:cs="仿宋"/>
          <w:bCs/>
          <w:color w:val="000000" w:themeColor="text1"/>
          <w:sz w:val="32"/>
          <w:szCs w:val="32"/>
          <w14:textFill>
            <w14:solidFill>
              <w14:schemeClr w14:val="tx1"/>
            </w14:solidFill>
          </w14:textFill>
        </w:rPr>
        <w:t>理化项目和指标</w:t>
      </w:r>
      <w:bookmarkEnd w:id="32"/>
    </w:p>
    <w:p w14:paraId="7C3B2159">
      <w:pPr>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）有害物质</w:t>
      </w:r>
    </w:p>
    <w:p w14:paraId="037B4454">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应根据《技术规范》要求设置汞、铅、砷、镉等有害物质的理化项目和指标。</w:t>
      </w:r>
      <w:r>
        <w:rPr>
          <w:rFonts w:hint="eastAsia" w:ascii="仿宋_GB2312" w:hAnsi="仿宋" w:eastAsia="仿宋_GB2312" w:cs="仿宋"/>
          <w:color w:val="000000" w:themeColor="text1"/>
          <w:sz w:val="32"/>
          <w:szCs w:val="32"/>
          <w14:textFill>
            <w14:solidFill>
              <w14:schemeClr w14:val="tx1"/>
            </w14:solidFill>
          </w14:textFill>
        </w:rPr>
        <w:t>其中汞、铅、砷、镉为必须设置的项目和指标。二噁烷的控制指标应根据产品实际情况而设置，</w:t>
      </w:r>
      <w:r>
        <w:rPr>
          <w:rFonts w:hint="eastAsia" w:ascii="Times New Roman" w:hAnsi="Times New Roman" w:eastAsia="仿宋_GB2312" w:cs="Times New Roman"/>
          <w:color w:val="000000" w:themeColor="text1"/>
          <w:sz w:val="32"/>
          <w:szCs w:val="32"/>
          <w14:textFill>
            <w14:solidFill>
              <w14:schemeClr w14:val="tx1"/>
            </w14:solidFill>
          </w14:textFill>
        </w:rPr>
        <w:t>若配方中含有乙氧基结构原料如苯氧乙醇、</w:t>
      </w:r>
      <w:r>
        <w:rPr>
          <w:rFonts w:hint="eastAsia" w:eastAsia="仿宋_GB2312"/>
          <w:color w:val="000000" w:themeColor="text1"/>
          <w:sz w:val="32"/>
          <w:szCs w:val="32"/>
          <w14:textFill>
            <w14:solidFill>
              <w14:schemeClr w14:val="tx1"/>
            </w14:solidFill>
          </w14:textFill>
        </w:rPr>
        <w:t>乙氧基二甘醇、</w:t>
      </w:r>
      <w:r>
        <w:rPr>
          <w:rFonts w:hint="eastAsia" w:ascii="Times New Roman" w:hAnsi="Times New Roman" w:eastAsia="仿宋_GB2312" w:cs="Times New Roman"/>
          <w:color w:val="000000" w:themeColor="text1"/>
          <w:sz w:val="32"/>
          <w:szCs w:val="32"/>
          <w14:textFill>
            <w14:solidFill>
              <w14:schemeClr w14:val="tx1"/>
            </w14:solidFill>
          </w14:textFill>
        </w:rPr>
        <w:t>聚乙二醇（</w:t>
      </w:r>
      <w:r>
        <w:rPr>
          <w:rFonts w:ascii="Times New Roman" w:hAnsi="Times New Roman" w:eastAsia="仿宋_GB2312" w:cs="Times New Roman"/>
          <w:color w:val="000000" w:themeColor="text1"/>
          <w:sz w:val="32"/>
          <w:szCs w:val="32"/>
          <w14:textFill>
            <w14:solidFill>
              <w14:schemeClr w14:val="tx1"/>
            </w14:solidFill>
          </w14:textFill>
        </w:rPr>
        <w:t>PEG</w:t>
      </w:r>
      <w:r>
        <w:rPr>
          <w:rFonts w:hint="eastAsia" w:ascii="Times New Roman" w:hAnsi="Times New Roman" w:eastAsia="仿宋_GB2312" w:cs="Times New Roman"/>
          <w:color w:val="000000" w:themeColor="text1"/>
          <w:sz w:val="32"/>
          <w:szCs w:val="32"/>
          <w14:textFill>
            <w14:solidFill>
              <w14:schemeClr w14:val="tx1"/>
            </w14:solidFill>
          </w14:textFill>
        </w:rPr>
        <w:t>）类</w:t>
      </w:r>
      <w:r>
        <w:rPr>
          <w:rFonts w:eastAsia="仿宋_GB2312"/>
          <w:color w:val="000000" w:themeColor="text1"/>
          <w:sz w:val="32"/>
          <w:szCs w:val="32"/>
          <w14:textFill>
            <w14:solidFill>
              <w14:schemeClr w14:val="tx1"/>
            </w14:solidFill>
          </w14:textFill>
        </w:rPr>
        <w:t>及其衍生物</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脂肪醇聚醚类及其衍生物、聚山梨醇酯类及其衍生物、泊洛沙姆等原料</w:t>
      </w:r>
      <w:r>
        <w:rPr>
          <w:rFonts w:hint="eastAsia" w:ascii="Times New Roman" w:hAnsi="Times New Roman" w:eastAsia="仿宋_GB2312" w:cs="Times New Roman"/>
          <w:color w:val="000000" w:themeColor="text1"/>
          <w:sz w:val="32"/>
          <w:szCs w:val="32"/>
          <w14:textFill>
            <w14:solidFill>
              <w14:schemeClr w14:val="tx1"/>
            </w14:solidFill>
          </w14:textFill>
        </w:rPr>
        <w:t>的，应当设置二噁烷项目和指标。当配方中乙醇、异丙醇含量之和≥</w:t>
      </w:r>
      <w:r>
        <w:rPr>
          <w:rFonts w:ascii="Times New Roman" w:hAnsi="Times New Roman" w:eastAsia="仿宋_GB2312" w:cs="Times New Roman"/>
          <w:color w:val="000000" w:themeColor="text1"/>
          <w:sz w:val="32"/>
          <w:szCs w:val="32"/>
          <w14:textFill>
            <w14:solidFill>
              <w14:schemeClr w14:val="tx1"/>
            </w14:solidFill>
          </w14:textFill>
        </w:rPr>
        <w:t>10%</w:t>
      </w:r>
      <w:bookmarkStart w:id="33" w:name="OLE_LINK1"/>
      <w:r>
        <w:rPr>
          <w:rFonts w:ascii="Times New Roman" w:hAnsi="Times New Roman" w:eastAsia="仿宋_GB2312" w:cs="Times New Roman"/>
          <w:color w:val="000000" w:themeColor="text1"/>
          <w:sz w:val="32"/>
          <w:szCs w:val="32"/>
          <w14:textFill>
            <w14:solidFill>
              <w14:schemeClr w14:val="tx1"/>
            </w14:solidFill>
          </w14:textFill>
        </w:rPr>
        <w:t>（w/w）</w:t>
      </w:r>
      <w:bookmarkEnd w:id="33"/>
      <w:r>
        <w:rPr>
          <w:rFonts w:hint="eastAsia" w:ascii="Times New Roman" w:hAnsi="Times New Roman" w:eastAsia="仿宋_GB2312" w:cs="Times New Roman"/>
          <w:color w:val="000000" w:themeColor="text1"/>
          <w:sz w:val="32"/>
          <w:szCs w:val="32"/>
          <w14:textFill>
            <w14:solidFill>
              <w14:schemeClr w14:val="tx1"/>
            </w14:solidFill>
          </w14:textFill>
        </w:rPr>
        <w:t>时，应</w:t>
      </w:r>
      <w:r>
        <w:rPr>
          <w:rFonts w:ascii="Times New Roman" w:hAnsi="Times New Roman" w:eastAsia="仿宋_GB2312" w:cs="Times New Roman"/>
          <w:color w:val="000000" w:themeColor="text1"/>
          <w:sz w:val="32"/>
          <w:szCs w:val="32"/>
          <w14:textFill>
            <w14:solidFill>
              <w14:schemeClr w14:val="tx1"/>
            </w14:solidFill>
          </w14:textFill>
        </w:rPr>
        <w:t>设置甲醇项目和指标</w:t>
      </w:r>
      <w:r>
        <w:rPr>
          <w:rFonts w:hint="eastAsia" w:ascii="Times New Roman" w:hAnsi="Times New Roman" w:eastAsia="仿宋_GB2312" w:cs="Times New Roman"/>
          <w:color w:val="000000" w:themeColor="text1"/>
          <w:sz w:val="32"/>
          <w:szCs w:val="32"/>
          <w14:textFill>
            <w14:solidFill>
              <w14:schemeClr w14:val="tx1"/>
            </w14:solidFill>
          </w14:textFill>
        </w:rPr>
        <w:t>。当配方中含有滑石粉原料时，应设置石棉项目。</w:t>
      </w:r>
      <w:bookmarkStart w:id="34" w:name="_Hlk207642992"/>
      <w:bookmarkStart w:id="35" w:name="_Hlk207643235"/>
      <w:r>
        <w:rPr>
          <w:rFonts w:hint="eastAsia" w:ascii="Times New Roman" w:hAnsi="Times New Roman" w:eastAsia="仿宋_GB2312" w:cs="Times New Roman"/>
          <w:color w:val="000000" w:themeColor="text1"/>
          <w:sz w:val="32"/>
          <w:szCs w:val="32"/>
          <w14:textFill>
            <w14:solidFill>
              <w14:schemeClr w14:val="tx1"/>
            </w14:solidFill>
          </w14:textFill>
        </w:rPr>
        <w:t>二噁烷和甲醇的控制指标</w:t>
      </w:r>
      <w:r>
        <w:rPr>
          <w:rFonts w:hint="eastAsia" w:ascii="仿宋_GB2312" w:hAnsi="仿宋_GB2312" w:eastAsia="仿宋_GB2312" w:cs="仿宋_GB2312"/>
          <w:color w:val="000000" w:themeColor="text1"/>
          <w:sz w:val="32"/>
          <w:szCs w:val="32"/>
          <w14:textFill>
            <w14:solidFill>
              <w14:schemeClr w14:val="tx1"/>
            </w14:solidFill>
          </w14:textFill>
        </w:rPr>
        <w:t>在不超过《技术规范》限量值的情况下，</w:t>
      </w:r>
      <w:r>
        <w:rPr>
          <w:rFonts w:hint="eastAsia" w:ascii="Times New Roman" w:hAnsi="Times New Roman" w:eastAsia="仿宋_GB2312" w:cs="Times New Roman"/>
          <w:color w:val="000000" w:themeColor="text1"/>
          <w:sz w:val="32"/>
          <w:szCs w:val="32"/>
          <w14:textFill>
            <w14:solidFill>
              <w14:schemeClr w14:val="tx1"/>
            </w14:solidFill>
          </w14:textFill>
        </w:rPr>
        <w:t>应根据产品实际情况设置，可以设置更严格的限量值。</w:t>
      </w:r>
      <w:bookmarkEnd w:id="34"/>
      <w:bookmarkEnd w:id="35"/>
    </w:p>
    <w:p w14:paraId="2AF8FAB2">
      <w:pPr>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w:t>
      </w:r>
      <w:bookmarkStart w:id="36" w:name="_Hlk207643420"/>
      <w:r>
        <w:rPr>
          <w:rFonts w:hint="eastAsia" w:ascii="仿宋_GB2312" w:hAnsi="仿宋_GB2312" w:eastAsia="仿宋_GB2312" w:cs="仿宋_GB2312"/>
          <w:color w:val="000000" w:themeColor="text1"/>
          <w:sz w:val="32"/>
          <w:szCs w:val="32"/>
          <w14:textFill>
            <w14:solidFill>
              <w14:schemeClr w14:val="tx1"/>
            </w14:solidFill>
          </w14:textFill>
        </w:rPr>
        <w:t>功效成分</w:t>
      </w:r>
      <w:bookmarkEnd w:id="36"/>
    </w:p>
    <w:p w14:paraId="2CB650A3">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当产品配方中使用化学防晒剂时，应对化学防晒剂指标进行控制，并根据配方申报量，综合考虑储存条件、使用期限内产品稳定性等因素，设置合理、具体的控制范围，其含量上限应符合《技术规范》要求。</w:t>
      </w:r>
      <w:bookmarkStart w:id="37" w:name="_Hlk207892139"/>
      <w:r>
        <w:rPr>
          <w:rFonts w:hint="eastAsia" w:ascii="Times New Roman" w:hAnsi="Times New Roman" w:eastAsia="仿宋_GB2312" w:cs="Times New Roman"/>
          <w:color w:val="000000" w:themeColor="text1"/>
          <w:sz w:val="32"/>
          <w:szCs w:val="32"/>
          <w14:textFill>
            <w14:solidFill>
              <w14:schemeClr w14:val="tx1"/>
            </w14:solidFill>
          </w14:textFill>
        </w:rPr>
        <w:t>化学防晒剂指标</w:t>
      </w:r>
      <w:bookmarkEnd w:id="37"/>
      <w:r>
        <w:rPr>
          <w:rFonts w:hint="eastAsia" w:ascii="Times New Roman" w:hAnsi="Times New Roman" w:eastAsia="仿宋_GB2312" w:cs="Times New Roman"/>
          <w:color w:val="000000" w:themeColor="text1"/>
          <w:sz w:val="32"/>
          <w:szCs w:val="32"/>
          <w14:textFill>
            <w14:solidFill>
              <w14:schemeClr w14:val="tx1"/>
            </w14:solidFill>
          </w14:textFill>
        </w:rPr>
        <w:t>如超出合理的控制范围，应开展充分研究以保证产品生产工艺稳定性和质量可控性。</w:t>
      </w:r>
    </w:p>
    <w:p w14:paraId="69404C1D">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当产品配方中使用物理防晒剂时，鼓励设置物理防晒剂的项目和指标。</w:t>
      </w:r>
    </w:p>
    <w:p w14:paraId="62B4D8A3">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配方中含有推进剂的气雾剂型防晒化妆品，防晒剂指标的控制范围可以有两种表述方式，含推进剂方式或不含推进剂方式。例如，某防晒化妆品推进剂灌装量为</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推进剂总质量：配方原料总质量</w:t>
      </w:r>
      <w:r>
        <w:rPr>
          <w:rFonts w:ascii="Times New Roman" w:hAnsi="Times New Roman" w:eastAsia="仿宋_GB2312" w:cs="Times New Roman"/>
          <w:color w:val="000000" w:themeColor="text1"/>
          <w:sz w:val="32"/>
          <w:szCs w:val="32"/>
          <w14:textFill>
            <w14:solidFill>
              <w14:schemeClr w14:val="tx1"/>
            </w14:solidFill>
          </w14:textFill>
        </w:rPr>
        <w:t>=60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40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，防晒剂</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水杨酸乙基己酯</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的配方申报量为</w:t>
      </w:r>
      <w:r>
        <w:rPr>
          <w:rFonts w:ascii="Times New Roman" w:hAnsi="Times New Roman" w:eastAsia="仿宋_GB2312" w:cs="Times New Roman"/>
          <w:color w:val="000000" w:themeColor="text1"/>
          <w:sz w:val="32"/>
          <w:szCs w:val="32"/>
          <w14:textFill>
            <w14:solidFill>
              <w14:schemeClr w14:val="tx1"/>
            </w14:solidFill>
          </w14:textFill>
        </w:rPr>
        <w:t>4.5%</w:t>
      </w:r>
      <w:r>
        <w:rPr>
          <w:rFonts w:hint="eastAsia" w:ascii="Times New Roman" w:hAnsi="Times New Roman" w:eastAsia="仿宋_GB2312" w:cs="Times New Roman"/>
          <w:color w:val="000000" w:themeColor="text1"/>
          <w:sz w:val="32"/>
          <w:szCs w:val="32"/>
          <w14:textFill>
            <w14:solidFill>
              <w14:schemeClr w14:val="tx1"/>
            </w14:solidFill>
          </w14:textFill>
        </w:rPr>
        <w:t>（不含推进剂），其控制范围可以为</w:t>
      </w:r>
      <w:r>
        <w:rPr>
          <w:rFonts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3.6%</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5.0%</w:t>
      </w:r>
      <w:r>
        <w:rPr>
          <w:rFonts w:hint="eastAsia" w:ascii="Times New Roman" w:hAnsi="Times New Roman" w:eastAsia="仿宋_GB2312" w:cs="Times New Roman"/>
          <w:color w:val="000000" w:themeColor="text1"/>
          <w:sz w:val="32"/>
          <w:szCs w:val="32"/>
          <w14:textFill>
            <w14:solidFill>
              <w14:schemeClr w14:val="tx1"/>
            </w14:solidFill>
          </w14:textFill>
        </w:rPr>
        <w:t>（不含推进剂）</w:t>
      </w:r>
      <w:r>
        <w:rPr>
          <w:rFonts w:ascii="仿宋_GB2312"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或者</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1.44%</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w:t>
      </w:r>
      <w:r>
        <w:rPr>
          <w:rFonts w:hint="eastAsia" w:ascii="Times New Roman" w:hAnsi="Times New Roman" w:eastAsia="仿宋_GB2312" w:cs="Times New Roman"/>
          <w:color w:val="000000" w:themeColor="text1"/>
          <w:sz w:val="32"/>
          <w:szCs w:val="32"/>
          <w14:textFill>
            <w14:solidFill>
              <w14:schemeClr w14:val="tx1"/>
            </w14:solidFill>
          </w14:textFill>
        </w:rPr>
        <w:t>（含推进剂）</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4EE7D8D4">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以酸、盐等形式存在的防晒剂，</w:t>
      </w:r>
      <w:bookmarkStart w:id="38" w:name="_Hlk211355768"/>
      <w:r>
        <w:rPr>
          <w:rFonts w:hint="eastAsia" w:ascii="Times New Roman" w:hAnsi="Times New Roman" w:eastAsia="仿宋_GB2312" w:cs="Times New Roman"/>
          <w:color w:val="000000" w:themeColor="text1"/>
          <w:sz w:val="32"/>
          <w:szCs w:val="32"/>
          <w14:textFill>
            <w14:solidFill>
              <w14:schemeClr w14:val="tx1"/>
            </w14:solidFill>
          </w14:textFill>
        </w:rPr>
        <w:t>如对苯二亚甲基二樟脑磺酸及其盐类、亚苄基樟脑磺酸及其盐类、苯基苯并咪唑磺酸及其</w:t>
      </w:r>
      <w:bookmarkStart w:id="39" w:name="_Hlk218866754"/>
      <w:r>
        <w:rPr>
          <w:rFonts w:hint="eastAsia" w:ascii="Times New Roman" w:hAnsi="Times New Roman" w:eastAsia="仿宋_GB2312" w:cs="Times New Roman"/>
          <w:color w:val="000000" w:themeColor="text1"/>
          <w:sz w:val="32"/>
          <w:szCs w:val="32"/>
          <w14:textFill>
            <w14:solidFill>
              <w14:schemeClr w14:val="tx1"/>
            </w14:solidFill>
          </w14:textFill>
        </w:rPr>
        <w:t>钠盐、钾盐</w:t>
      </w:r>
      <w:bookmarkEnd w:id="39"/>
      <w:r>
        <w:rPr>
          <w:rFonts w:hint="eastAsia" w:ascii="Times New Roman" w:hAnsi="Times New Roman" w:eastAsia="仿宋_GB2312" w:cs="Times New Roman"/>
          <w:color w:val="000000" w:themeColor="text1"/>
          <w:sz w:val="32"/>
          <w:szCs w:val="32"/>
          <w14:textFill>
            <w14:solidFill>
              <w14:schemeClr w14:val="tx1"/>
            </w14:solidFill>
          </w14:textFill>
        </w:rPr>
        <w:t>等，</w:t>
      </w:r>
      <w:bookmarkEnd w:id="38"/>
      <w:r>
        <w:rPr>
          <w:rFonts w:hint="eastAsia" w:ascii="Times New Roman" w:hAnsi="Times New Roman" w:eastAsia="仿宋_GB2312" w:cs="Times New Roman"/>
          <w:color w:val="000000" w:themeColor="text1"/>
          <w:sz w:val="32"/>
          <w:szCs w:val="32"/>
          <w14:textFill>
            <w14:solidFill>
              <w14:schemeClr w14:val="tx1"/>
            </w14:solidFill>
          </w14:textFill>
        </w:rPr>
        <w:t>其产品配方填报以及</w:t>
      </w:r>
      <w:bookmarkStart w:id="40" w:name="_Hlk211355951"/>
      <w:r>
        <w:rPr>
          <w:rFonts w:hint="eastAsia" w:ascii="Times New Roman" w:hAnsi="Times New Roman" w:eastAsia="仿宋_GB2312" w:cs="Times New Roman"/>
          <w:color w:val="000000" w:themeColor="text1"/>
          <w:sz w:val="32"/>
          <w:szCs w:val="32"/>
          <w14:textFill>
            <w14:solidFill>
              <w14:schemeClr w14:val="tx1"/>
            </w14:solidFill>
          </w14:textFill>
        </w:rPr>
        <w:t>理化项目中必须明确所用存在形式的具体原料</w:t>
      </w:r>
      <w:r>
        <w:rPr>
          <w:rFonts w:hint="eastAsia" w:ascii="Times New Roman" w:hAnsi="Times New Roman" w:eastAsia="仿宋_GB2312" w:cs="Times New Roman"/>
          <w:bCs/>
          <w:color w:val="000000" w:themeColor="text1"/>
          <w:sz w:val="32"/>
          <w:szCs w:val="32"/>
          <w14:textFill>
            <w14:solidFill>
              <w14:schemeClr w14:val="tx1"/>
            </w14:solidFill>
          </w14:textFill>
        </w:rPr>
        <w:t>名称</w:t>
      </w:r>
      <w:bookmarkEnd w:id="40"/>
      <w:bookmarkStart w:id="41" w:name="_Hlk218866772"/>
      <w:r>
        <w:rPr>
          <w:rFonts w:hint="eastAsia" w:ascii="Times New Roman" w:hAnsi="Times New Roman" w:eastAsia="仿宋_GB2312" w:cs="Times New Roman"/>
          <w:color w:val="000000" w:themeColor="text1"/>
          <w:sz w:val="32"/>
          <w:szCs w:val="32"/>
          <w14:textFill>
            <w14:solidFill>
              <w14:schemeClr w14:val="tx1"/>
            </w14:solidFill>
          </w14:textFill>
        </w:rPr>
        <w:t>，如酸、钠盐或钾盐等，</w:t>
      </w:r>
      <w:bookmarkEnd w:id="41"/>
      <w:r>
        <w:rPr>
          <w:rFonts w:hint="eastAsia" w:ascii="Times New Roman" w:hAnsi="Times New Roman" w:eastAsia="仿宋_GB2312" w:cs="Times New Roman"/>
          <w:color w:val="000000" w:themeColor="text1"/>
          <w:sz w:val="32"/>
          <w:szCs w:val="32"/>
          <w14:textFill>
            <w14:solidFill>
              <w14:schemeClr w14:val="tx1"/>
            </w14:solidFill>
          </w14:textFill>
        </w:rPr>
        <w:t>不能笼统表述为“</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盐</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并在产品执行的标准</w:t>
      </w:r>
      <w:r>
        <w:rPr>
          <w:rFonts w:hint="eastAsia" w:ascii="Times New Roman" w:hAnsi="Times New Roman" w:eastAsia="仿宋_GB2312" w:cs="Times New Roman"/>
          <w:color w:val="000000" w:themeColor="text1"/>
          <w:sz w:val="32"/>
          <w:szCs w:val="32"/>
          <w14:textFill>
            <w14:solidFill>
              <w14:schemeClr w14:val="tx1"/>
            </w14:solidFill>
          </w14:textFill>
        </w:rPr>
        <w:t>中明确</w:t>
      </w:r>
      <w:r>
        <w:rPr>
          <w:rFonts w:hint="eastAsia" w:ascii="Times New Roman" w:hAnsi="Times New Roman" w:eastAsia="仿宋_GB2312" w:cs="Times New Roman"/>
          <w:bCs/>
          <w:color w:val="000000" w:themeColor="text1"/>
          <w:sz w:val="32"/>
          <w:szCs w:val="32"/>
          <w14:textFill>
            <w14:solidFill>
              <w14:schemeClr w14:val="tx1"/>
            </w14:solidFill>
          </w14:textFill>
        </w:rPr>
        <w:t>其存在形式的具体原料名称，相应的防晒剂指标控制范围应当进行正确换算。</w:t>
      </w:r>
      <w:r>
        <w:rPr>
          <w:rFonts w:hint="eastAsia" w:ascii="Times New Roman" w:hAnsi="Times New Roman" w:eastAsia="仿宋_GB2312" w:cs="Times New Roman"/>
          <w:color w:val="000000" w:themeColor="text1"/>
          <w:sz w:val="32"/>
          <w:szCs w:val="32"/>
          <w14:textFill>
            <w14:solidFill>
              <w14:schemeClr w14:val="tx1"/>
            </w14:solidFill>
          </w14:textFill>
        </w:rPr>
        <w:t>例如，</w:t>
      </w:r>
      <w:bookmarkStart w:id="42" w:name="_Hlk211354428"/>
      <w:bookmarkStart w:id="43" w:name="_Hlk210119402"/>
      <w:r>
        <w:rPr>
          <w:rFonts w:hint="eastAsia" w:ascii="Times New Roman" w:hAnsi="Times New Roman" w:eastAsia="仿宋_GB2312" w:cs="Times New Roman"/>
          <w:color w:val="000000" w:themeColor="text1"/>
          <w:sz w:val="32"/>
          <w:szCs w:val="32"/>
          <w14:textFill>
            <w14:solidFill>
              <w14:schemeClr w14:val="tx1"/>
            </w14:solidFill>
          </w14:textFill>
        </w:rPr>
        <w:t>某防晒化妆品</w:t>
      </w:r>
      <w:bookmarkEnd w:id="42"/>
      <w:r>
        <w:rPr>
          <w:rFonts w:hint="eastAsia" w:ascii="Times New Roman" w:hAnsi="Times New Roman" w:eastAsia="仿宋_GB2312" w:cs="Times New Roman"/>
          <w:color w:val="000000" w:themeColor="text1"/>
          <w:sz w:val="32"/>
          <w:szCs w:val="32"/>
          <w14:textFill>
            <w14:solidFill>
              <w14:schemeClr w14:val="tx1"/>
            </w14:solidFill>
          </w14:textFill>
        </w:rPr>
        <w:t>使用了“对苯二亚甲基二樟脑磺酸二钠”</w:t>
      </w:r>
      <w:bookmarkStart w:id="44" w:name="_Hlk211354436"/>
      <w:bookmarkStart w:id="45" w:name="_Hlk211354501"/>
      <w:r>
        <w:rPr>
          <w:rFonts w:hint="eastAsia" w:ascii="Times New Roman" w:hAnsi="Times New Roman" w:eastAsia="仿宋_GB2312" w:cs="Times New Roman"/>
          <w:color w:val="000000" w:themeColor="text1"/>
          <w:sz w:val="32"/>
          <w:szCs w:val="32"/>
          <w14:textFill>
            <w14:solidFill>
              <w14:schemeClr w14:val="tx1"/>
            </w14:solidFill>
          </w14:textFill>
        </w:rPr>
        <w:t>，配方应当</w:t>
      </w:r>
      <w:r>
        <w:rPr>
          <w:rFonts w:hint="eastAsia" w:ascii="Times New Roman" w:hAnsi="Times New Roman" w:eastAsia="仿宋_GB2312" w:cs="Times New Roman"/>
          <w:bCs/>
          <w:color w:val="000000" w:themeColor="text1"/>
          <w:sz w:val="32"/>
          <w:szCs w:val="32"/>
          <w14:textFill>
            <w14:solidFill>
              <w14:schemeClr w14:val="tx1"/>
            </w14:solidFill>
          </w14:textFill>
        </w:rPr>
        <w:t>填报“</w:t>
      </w:r>
      <w:r>
        <w:rPr>
          <w:rFonts w:hint="eastAsia" w:ascii="Times New Roman" w:hAnsi="Times New Roman" w:eastAsia="仿宋_GB2312" w:cs="Times New Roman"/>
          <w:color w:val="000000" w:themeColor="text1"/>
          <w:sz w:val="32"/>
          <w:szCs w:val="32"/>
          <w14:textFill>
            <w14:solidFill>
              <w14:schemeClr w14:val="tx1"/>
            </w14:solidFill>
          </w14:textFill>
        </w:rPr>
        <w:t>对苯二亚甲基二樟脑磺酸二钠”，或者填报</w:t>
      </w:r>
      <w:r>
        <w:rPr>
          <w:rFonts w:hint="eastAsia" w:ascii="Times New Roman" w:hAnsi="Times New Roman" w:eastAsia="仿宋_GB2312" w:cs="Times New Roman"/>
          <w:bCs/>
          <w:color w:val="000000" w:themeColor="text1"/>
          <w:sz w:val="32"/>
          <w:szCs w:val="32"/>
          <w14:textFill>
            <w14:solidFill>
              <w14:schemeClr w14:val="tx1"/>
            </w14:solidFill>
          </w14:textFill>
        </w:rPr>
        <w:t>“对苯二亚甲基二樟脑磺酸盐类”，但在备注栏中应当注明“</w:t>
      </w:r>
      <w:r>
        <w:rPr>
          <w:rFonts w:hint="eastAsia" w:ascii="Times New Roman" w:hAnsi="Times New Roman" w:eastAsia="仿宋_GB2312" w:cs="Times New Roman"/>
          <w:color w:val="000000" w:themeColor="text1"/>
          <w:sz w:val="32"/>
          <w:szCs w:val="32"/>
          <w14:textFill>
            <w14:solidFill>
              <w14:schemeClr w14:val="tx1"/>
            </w14:solidFill>
          </w14:textFill>
        </w:rPr>
        <w:t>对苯二亚甲基二樟脑磺酸二钠</w:t>
      </w:r>
      <w:r>
        <w:rPr>
          <w:rFonts w:hint="eastAsia" w:ascii="Times New Roman" w:hAnsi="Times New Roman" w:eastAsia="仿宋_GB2312" w:cs="Times New Roman"/>
          <w:bCs/>
          <w:color w:val="000000" w:themeColor="text1"/>
          <w:sz w:val="32"/>
          <w:szCs w:val="32"/>
          <w14:textFill>
            <w14:solidFill>
              <w14:schemeClr w14:val="tx1"/>
            </w14:solidFill>
          </w14:textFill>
        </w:rPr>
        <w:t>”，若</w:t>
      </w:r>
      <w:r>
        <w:rPr>
          <w:rFonts w:hint="eastAsia" w:ascii="Times New Roman" w:hAnsi="Times New Roman" w:eastAsia="仿宋_GB2312" w:cs="Times New Roman"/>
          <w:color w:val="000000" w:themeColor="text1"/>
          <w:sz w:val="32"/>
          <w:szCs w:val="32"/>
          <w14:textFill>
            <w14:solidFill>
              <w14:schemeClr w14:val="tx1"/>
            </w14:solidFill>
          </w14:textFill>
        </w:rPr>
        <w:t>配方申报量为</w:t>
      </w:r>
      <w:r>
        <w:rPr>
          <w:rFonts w:ascii="Times New Roman" w:hAnsi="Times New Roman" w:eastAsia="仿宋_GB2312" w:cs="Times New Roman"/>
          <w:color w:val="000000" w:themeColor="text1"/>
          <w:sz w:val="32"/>
          <w:szCs w:val="32"/>
          <w14:textFill>
            <w14:solidFill>
              <w14:schemeClr w14:val="tx1"/>
            </w14:solidFill>
          </w14:textFill>
        </w:rPr>
        <w:t>5%</w:t>
      </w:r>
      <w:bookmarkEnd w:id="44"/>
      <w:r>
        <w:rPr>
          <w:rFonts w:hint="eastAsia" w:ascii="Times New Roman" w:hAnsi="Times New Roman" w:eastAsia="仿宋_GB2312" w:cs="Times New Roman"/>
          <w:color w:val="000000" w:themeColor="text1"/>
          <w:sz w:val="32"/>
          <w:szCs w:val="32"/>
          <w14:textFill>
            <w14:solidFill>
              <w14:schemeClr w14:val="tx1"/>
            </w14:solidFill>
          </w14:textFill>
        </w:rPr>
        <w:t>，</w:t>
      </w:r>
      <w:bookmarkEnd w:id="45"/>
      <w:bookmarkStart w:id="46" w:name="_Hlk211354495"/>
      <w:r>
        <w:rPr>
          <w:rFonts w:hint="eastAsia" w:ascii="Times New Roman" w:hAnsi="Times New Roman" w:eastAsia="仿宋_GB2312" w:cs="Times New Roman"/>
          <w:color w:val="000000" w:themeColor="text1"/>
          <w:sz w:val="32"/>
          <w:szCs w:val="32"/>
          <w14:textFill>
            <w14:solidFill>
              <w14:schemeClr w14:val="tx1"/>
            </w14:solidFill>
          </w14:textFill>
        </w:rPr>
        <w:t>则其控制范围可控制为“以对苯二亚甲基二樟脑磺酸二钠计，</w:t>
      </w:r>
      <w:r>
        <w:rPr>
          <w:rFonts w:ascii="Times New Roman" w:hAnsi="Times New Roman" w:eastAsia="仿宋_GB2312" w:cs="Times New Roman"/>
          <w:color w:val="000000" w:themeColor="text1"/>
          <w:sz w:val="32"/>
          <w:szCs w:val="32"/>
          <w14:textFill>
            <w14:solidFill>
              <w14:schemeClr w14:val="tx1"/>
            </w14:solidFill>
          </w14:textFill>
        </w:rPr>
        <w:t>4.0%~6.0%</w:t>
      </w:r>
      <w:r>
        <w:rPr>
          <w:rFonts w:hint="eastAsia" w:ascii="Times New Roman" w:hAnsi="Times New Roman" w:eastAsia="仿宋_GB2312" w:cs="Times New Roman"/>
          <w:color w:val="000000" w:themeColor="text1"/>
          <w:sz w:val="32"/>
          <w:szCs w:val="32"/>
          <w14:textFill>
            <w14:solidFill>
              <w14:schemeClr w14:val="tx1"/>
            </w14:solidFill>
          </w14:textFill>
        </w:rPr>
        <w:t>”，也可控制为“以对苯二亚甲基二樟脑磺酸计，</w:t>
      </w:r>
      <w:r>
        <w:rPr>
          <w:rFonts w:ascii="Times New Roman" w:hAnsi="Times New Roman" w:eastAsia="仿宋_GB2312" w:cs="Times New Roman"/>
          <w:color w:val="000000" w:themeColor="text1"/>
          <w:sz w:val="32"/>
          <w:szCs w:val="32"/>
          <w14:textFill>
            <w14:solidFill>
              <w14:schemeClr w14:val="tx1"/>
            </w14:solidFill>
          </w14:textFill>
        </w:rPr>
        <w:t>3.7%~5.</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bookmarkEnd w:id="43"/>
      <w:r>
        <w:rPr>
          <w:rFonts w:hint="eastAsia" w:ascii="Times New Roman" w:hAnsi="Times New Roman" w:eastAsia="仿宋_GB2312" w:cs="Times New Roman"/>
          <w:color w:val="000000" w:themeColor="text1"/>
          <w:sz w:val="32"/>
          <w:szCs w:val="32"/>
          <w14:textFill>
            <w14:solidFill>
              <w14:schemeClr w14:val="tx1"/>
            </w14:solidFill>
          </w14:textFill>
        </w:rPr>
        <w:t>。</w:t>
      </w:r>
      <w:bookmarkEnd w:id="46"/>
      <w:r>
        <w:rPr>
          <w:rFonts w:hint="eastAsia" w:ascii="Times New Roman" w:hAnsi="Times New Roman" w:eastAsia="仿宋_GB2312" w:cs="Times New Roman"/>
          <w:color w:val="000000" w:themeColor="text1"/>
          <w:sz w:val="32"/>
          <w:szCs w:val="32"/>
          <w14:textFill>
            <w14:solidFill>
              <w14:schemeClr w14:val="tx1"/>
            </w14:solidFill>
          </w14:textFill>
        </w:rPr>
        <w:t>同理，防晒剂有酸、酯等存在形式的，</w:t>
      </w:r>
      <w:bookmarkStart w:id="47" w:name="_Hlk210119363"/>
      <w:r>
        <w:rPr>
          <w:rFonts w:hint="eastAsia" w:ascii="Times New Roman" w:hAnsi="Times New Roman" w:eastAsia="仿宋_GB2312" w:cs="Times New Roman"/>
          <w:color w:val="000000" w:themeColor="text1"/>
          <w:sz w:val="32"/>
          <w:szCs w:val="32"/>
          <w14:textFill>
            <w14:solidFill>
              <w14:schemeClr w14:val="tx1"/>
            </w14:solidFill>
          </w14:textFill>
        </w:rPr>
        <w:t>如奥克立林，指标控制范围既可以酯计，也可以酸计，但需在控制的项目中明确“以奥克立林计”或“以酸计”，</w:t>
      </w:r>
      <w:bookmarkEnd w:id="47"/>
      <w:r>
        <w:rPr>
          <w:rFonts w:hint="eastAsia" w:ascii="Times New Roman" w:hAnsi="Times New Roman" w:eastAsia="仿宋_GB2312" w:cs="Times New Roman"/>
          <w:color w:val="000000" w:themeColor="text1"/>
          <w:sz w:val="32"/>
          <w:szCs w:val="32"/>
          <w14:textFill>
            <w14:solidFill>
              <w14:schemeClr w14:val="tx1"/>
            </w14:solidFill>
          </w14:textFill>
        </w:rPr>
        <w:t>并在相应的控制指标中进行正确换算。</w:t>
      </w:r>
    </w:p>
    <w:p w14:paraId="2F762145">
      <w:pPr>
        <w:snapToGrid w:val="0"/>
        <w:spacing w:line="360" w:lineRule="auto"/>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防晒剂指标控制范围表述应当规范，不应使用不规范或者易产生歧义的表述等。</w:t>
      </w:r>
    </w:p>
    <w:p w14:paraId="61E72F41">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）其他项目和指标</w:t>
      </w:r>
    </w:p>
    <w:p w14:paraId="7D0CAC9F">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48" w:name="_Hlk207643650"/>
      <w:r>
        <w:rPr>
          <w:rFonts w:hint="eastAsia" w:ascii="Times New Roman" w:hAnsi="Times New Roman" w:eastAsia="仿宋_GB2312" w:cs="Times New Roman"/>
          <w:color w:val="000000" w:themeColor="text1"/>
          <w:sz w:val="32"/>
          <w:szCs w:val="32"/>
          <w14:textFill>
            <w14:solidFill>
              <w14:schemeClr w14:val="tx1"/>
            </w14:solidFill>
          </w14:textFill>
        </w:rPr>
        <w:t>防晒化妆品同时宣称具有美白功效时，应参照</w:t>
      </w:r>
      <w:r>
        <w:rPr>
          <w:rFonts w:hint="eastAsia" w:ascii="仿宋_GB2312" w:hAnsi="仿宋" w:eastAsia="仿宋_GB2312" w:cs="仿宋"/>
          <w:color w:val="000000" w:themeColor="text1"/>
          <w:sz w:val="32"/>
          <w:szCs w:val="32"/>
          <w14:textFill>
            <w14:solidFill>
              <w14:schemeClr w14:val="tx1"/>
            </w14:solidFill>
          </w14:textFill>
        </w:rPr>
        <w:t>《检验规范》以及</w:t>
      </w:r>
      <w:r>
        <w:rPr>
          <w:rFonts w:hint="eastAsia" w:ascii="Times New Roman" w:hAnsi="Times New Roman" w:eastAsia="仿宋_GB2312" w:cs="Times New Roman"/>
          <w:color w:val="000000" w:themeColor="text1"/>
          <w:sz w:val="32"/>
          <w:szCs w:val="32"/>
          <w14:textFill>
            <w14:solidFill>
              <w14:schemeClr w14:val="tx1"/>
            </w14:solidFill>
          </w14:textFill>
        </w:rPr>
        <w:t>祛斑美白化妆品相关指导原则增加质量控制项目及指标。</w:t>
      </w:r>
    </w:p>
    <w:p w14:paraId="6A47520F">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宣称含有α</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羟基酸，或虽未宣称含α</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羟基酸、但其配方中</w:t>
      </w:r>
      <w:r>
        <w:rPr>
          <w:rFonts w:ascii="Times New Roman" w:hAnsi="Times New Roman" w:eastAsia="仿宋_GB2312" w:cs="Times New Roman"/>
          <w:color w:val="000000" w:themeColor="text1"/>
          <w:sz w:val="32"/>
          <w:szCs w:val="32"/>
          <w14:textFill>
            <w14:solidFill>
              <w14:schemeClr w14:val="tx1"/>
            </w14:solidFill>
          </w14:textFill>
        </w:rPr>
        <w:t>α-</w:t>
      </w:r>
      <w:r>
        <w:rPr>
          <w:rFonts w:hint="eastAsia" w:ascii="Times New Roman" w:hAnsi="Times New Roman" w:eastAsia="仿宋_GB2312" w:cs="Times New Roman"/>
          <w:color w:val="000000" w:themeColor="text1"/>
          <w:sz w:val="32"/>
          <w:szCs w:val="32"/>
          <w14:textFill>
            <w14:solidFill>
              <w14:schemeClr w14:val="tx1"/>
            </w14:solidFill>
          </w14:textFill>
        </w:rPr>
        <w:t>羟基酸总量≥</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（w/w）</w:t>
      </w:r>
      <w:r>
        <w:rPr>
          <w:rFonts w:hint="eastAsia" w:ascii="Times New Roman" w:hAnsi="Times New Roman" w:eastAsia="仿宋_GB2312" w:cs="Times New Roman"/>
          <w:color w:val="000000" w:themeColor="text1"/>
          <w:sz w:val="32"/>
          <w:szCs w:val="32"/>
          <w14:textFill>
            <w14:solidFill>
              <w14:schemeClr w14:val="tx1"/>
            </w14:solidFill>
          </w14:textFill>
        </w:rPr>
        <w:t>的防晒化妆品，还应当控制</w:t>
      </w:r>
      <w:r>
        <w:rPr>
          <w:rFonts w:ascii="Times New Roman" w:hAnsi="Times New Roman" w:eastAsia="仿宋_GB2312" w:cs="Times New Roman"/>
          <w:color w:val="000000" w:themeColor="text1"/>
          <w:sz w:val="32"/>
          <w:szCs w:val="32"/>
          <w14:textFill>
            <w14:solidFill>
              <w14:schemeClr w14:val="tx1"/>
            </w14:solidFill>
          </w14:textFill>
        </w:rPr>
        <w:t>α-</w:t>
      </w:r>
      <w:r>
        <w:rPr>
          <w:rFonts w:hint="eastAsia" w:ascii="Times New Roman" w:hAnsi="Times New Roman" w:eastAsia="仿宋_GB2312" w:cs="Times New Roman"/>
          <w:color w:val="000000" w:themeColor="text1"/>
          <w:sz w:val="32"/>
          <w:szCs w:val="32"/>
          <w14:textFill>
            <w14:solidFill>
              <w14:schemeClr w14:val="tx1"/>
            </w14:solidFill>
          </w14:textFill>
        </w:rPr>
        <w:t>羟基酸和</w:t>
      </w:r>
      <w:r>
        <w:rPr>
          <w:rFonts w:ascii="Times New Roman" w:hAnsi="Times New Roman" w:eastAsia="仿宋_GB2312" w:cs="Times New Roman"/>
          <w:color w:val="000000" w:themeColor="text1"/>
          <w:sz w:val="32"/>
          <w:szCs w:val="32"/>
          <w14:textFill>
            <w14:solidFill>
              <w14:schemeClr w14:val="tx1"/>
            </w14:solidFill>
          </w14:textFill>
        </w:rPr>
        <w:t>pH值</w:t>
      </w:r>
      <w:r>
        <w:rPr>
          <w:rFonts w:hint="eastAsia" w:ascii="Times New Roman" w:hAnsi="Times New Roman" w:eastAsia="仿宋_GB2312" w:cs="Times New Roman"/>
          <w:color w:val="000000" w:themeColor="text1"/>
          <w:sz w:val="32"/>
          <w:szCs w:val="32"/>
          <w14:textFill>
            <w14:solidFill>
              <w14:schemeClr w14:val="tx1"/>
            </w14:solidFill>
          </w14:textFill>
        </w:rPr>
        <w:t>项目及指标。</w:t>
      </w:r>
    </w:p>
    <w:p w14:paraId="4D2404DB">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儿童防晒化妆品</w:t>
      </w:r>
      <w:r>
        <w:rPr>
          <w:rFonts w:hint="eastAsia" w:ascii="Times New Roman" w:hAnsi="Times New Roman" w:eastAsia="仿宋_GB2312" w:cs="Times New Roman"/>
          <w:color w:val="000000" w:themeColor="text1"/>
          <w:sz w:val="32"/>
          <w:szCs w:val="32"/>
          <w14:textFill>
            <w14:solidFill>
              <w14:schemeClr w14:val="tx1"/>
            </w14:solidFill>
          </w14:textFill>
        </w:rPr>
        <w:t>属于</w:t>
      </w:r>
      <w:r>
        <w:rPr>
          <w:rFonts w:ascii="Times New Roman" w:hAnsi="Times New Roman" w:eastAsia="仿宋_GB2312" w:cs="Times New Roman"/>
          <w:color w:val="000000" w:themeColor="text1"/>
          <w:sz w:val="32"/>
          <w:szCs w:val="32"/>
          <w14:textFill>
            <w14:solidFill>
              <w14:schemeClr w14:val="tx1"/>
            </w14:solidFill>
          </w14:textFill>
        </w:rPr>
        <w:t>驻留类化妆品，原则上应当</w:t>
      </w:r>
      <w:r>
        <w:rPr>
          <w:rFonts w:hint="eastAsia" w:ascii="Times New Roman" w:hAnsi="Times New Roman" w:eastAsia="仿宋_GB2312" w:cs="Times New Roman"/>
          <w:color w:val="000000" w:themeColor="text1"/>
          <w:sz w:val="32"/>
          <w:szCs w:val="32"/>
          <w14:textFill>
            <w14:solidFill>
              <w14:schemeClr w14:val="tx1"/>
            </w14:solidFill>
          </w14:textFill>
        </w:rPr>
        <w:t>控制</w:t>
      </w:r>
      <w:r>
        <w:rPr>
          <w:rFonts w:ascii="Times New Roman" w:hAnsi="Times New Roman" w:eastAsia="仿宋_GB2312" w:cs="Times New Roman"/>
          <w:color w:val="000000" w:themeColor="text1"/>
          <w:sz w:val="32"/>
          <w:szCs w:val="32"/>
          <w14:textFill>
            <w14:solidFill>
              <w14:schemeClr w14:val="tx1"/>
            </w14:solidFill>
          </w14:textFill>
        </w:rPr>
        <w:t>pH值范围（无法测定pH值的剂型除外）在4.5~7.5（含4.5以及7.5）；若考虑特定使用部位的生理特点（如婴幼儿尿布区）、产品属性以及原料稳定性等因素，</w:t>
      </w:r>
      <w:r>
        <w:rPr>
          <w:rFonts w:hint="eastAsia" w:ascii="Times New Roman" w:hAnsi="Times New Roman" w:eastAsia="仿宋_GB2312" w:cs="Times New Roman"/>
          <w:color w:val="000000" w:themeColor="text1"/>
          <w:sz w:val="32"/>
          <w:szCs w:val="32"/>
          <w14:textFill>
            <w14:solidFill>
              <w14:schemeClr w14:val="tx1"/>
            </w14:solidFill>
          </w14:textFill>
        </w:rPr>
        <w:t>当</w:t>
      </w:r>
      <w:r>
        <w:rPr>
          <w:rFonts w:ascii="Times New Roman" w:hAnsi="Times New Roman" w:eastAsia="仿宋_GB2312" w:cs="Times New Roman"/>
          <w:color w:val="000000" w:themeColor="text1"/>
          <w:sz w:val="32"/>
          <w:szCs w:val="32"/>
          <w14:textFill>
            <w14:solidFill>
              <w14:schemeClr w14:val="tx1"/>
            </w14:solidFill>
          </w14:textFill>
        </w:rPr>
        <w:t>pH值</w:t>
      </w:r>
      <w:r>
        <w:rPr>
          <w:rFonts w:hint="eastAsia" w:ascii="Times New Roman" w:hAnsi="Times New Roman" w:eastAsia="仿宋_GB2312" w:cs="Times New Roman"/>
          <w:color w:val="000000" w:themeColor="text1"/>
          <w:sz w:val="32"/>
          <w:szCs w:val="32"/>
          <w14:textFill>
            <w14:solidFill>
              <w14:schemeClr w14:val="tx1"/>
            </w14:solidFill>
          </w14:textFill>
        </w:rPr>
        <w:t>控制</w:t>
      </w:r>
      <w:r>
        <w:rPr>
          <w:rFonts w:ascii="Times New Roman" w:hAnsi="Times New Roman" w:eastAsia="仿宋_GB2312" w:cs="Times New Roman"/>
          <w:color w:val="000000" w:themeColor="text1"/>
          <w:sz w:val="32"/>
          <w:szCs w:val="32"/>
          <w14:textFill>
            <w14:solidFill>
              <w14:schemeClr w14:val="tx1"/>
            </w14:solidFill>
          </w14:textFill>
        </w:rPr>
        <w:t>范围属于下述任意一种情形时，应当</w:t>
      </w:r>
      <w:r>
        <w:rPr>
          <w:rFonts w:hint="eastAsia" w:ascii="Times New Roman" w:hAnsi="Times New Roman" w:eastAsia="仿宋_GB2312" w:cs="Times New Roman"/>
          <w:color w:val="000000" w:themeColor="text1"/>
          <w:sz w:val="32"/>
          <w:szCs w:val="32"/>
          <w14:textFill>
            <w14:solidFill>
              <w14:schemeClr w14:val="tx1"/>
            </w14:solidFill>
          </w14:textFill>
        </w:rPr>
        <w:t>进行</w:t>
      </w:r>
      <w:r>
        <w:rPr>
          <w:rFonts w:ascii="Times New Roman" w:hAnsi="Times New Roman" w:eastAsia="仿宋_GB2312" w:cs="Times New Roman"/>
          <w:color w:val="000000" w:themeColor="text1"/>
          <w:sz w:val="32"/>
          <w:szCs w:val="32"/>
          <w14:textFill>
            <w14:solidFill>
              <w14:schemeClr w14:val="tx1"/>
            </w14:solidFill>
          </w14:textFill>
        </w:rPr>
        <w:t>科学性研究，并进行充分安全评估：（1）pH值范围下限</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3.5但</w:t>
      </w:r>
      <w:r>
        <w:rPr>
          <w:rFonts w:hint="eastAsia" w:ascii="仿宋_GB2312" w:hAnsi="Times New Roman" w:eastAsia="仿宋_GB2312" w:cs="Times New Roman"/>
          <w:color w:val="000000" w:themeColor="text1"/>
          <w:sz w:val="32"/>
          <w:szCs w:val="32"/>
          <w14:textFill>
            <w14:solidFill>
              <w14:schemeClr w14:val="tx1"/>
            </w14:solidFill>
          </w14:textFill>
        </w:rPr>
        <w:t>&lt;</w:t>
      </w:r>
      <w:r>
        <w:rPr>
          <w:rFonts w:ascii="Times New Roman" w:hAnsi="Times New Roman" w:eastAsia="仿宋_GB2312" w:cs="Times New Roman"/>
          <w:color w:val="000000" w:themeColor="text1"/>
          <w:sz w:val="32"/>
          <w:szCs w:val="32"/>
          <w14:textFill>
            <w14:solidFill>
              <w14:schemeClr w14:val="tx1"/>
            </w14:solidFill>
          </w14:textFill>
        </w:rPr>
        <w:t>4.5的；（2）pH值范围上限</w:t>
      </w:r>
      <w:r>
        <w:rPr>
          <w:rFonts w:hint="eastAsia" w:ascii="仿宋_GB2312" w:hAnsi="Times New Roman" w:eastAsia="仿宋_GB2312" w:cs="Times New Roman"/>
          <w:color w:val="000000" w:themeColor="text1"/>
          <w:sz w:val="32"/>
          <w:szCs w:val="32"/>
          <w14:textFill>
            <w14:solidFill>
              <w14:schemeClr w14:val="tx1"/>
            </w14:solidFill>
          </w14:textFill>
        </w:rPr>
        <w:t>&gt;</w:t>
      </w:r>
      <w:r>
        <w:rPr>
          <w:rFonts w:ascii="Times New Roman" w:hAnsi="Times New Roman" w:eastAsia="仿宋_GB2312" w:cs="Times New Roman"/>
          <w:color w:val="000000" w:themeColor="text1"/>
          <w:sz w:val="32"/>
          <w:szCs w:val="32"/>
          <w14:textFill>
            <w14:solidFill>
              <w14:schemeClr w14:val="tx1"/>
            </w14:solidFill>
          </w14:textFill>
        </w:rPr>
        <w:t>7.5但</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10.5的。</w:t>
      </w:r>
    </w:p>
    <w:p w14:paraId="79DB259D">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鼓励注册人根据防晒化妆品的生产工艺及其质量控制的特点和需要增加相关项目和指标，如</w:t>
      </w:r>
      <w:r>
        <w:rPr>
          <w:rFonts w:ascii="Times New Roman" w:hAnsi="Times New Roman" w:eastAsia="仿宋_GB2312" w:cs="Times New Roman"/>
          <w:color w:val="000000" w:themeColor="text1"/>
          <w:sz w:val="32"/>
          <w:szCs w:val="32"/>
          <w14:textFill>
            <w14:solidFill>
              <w14:schemeClr w14:val="tx1"/>
            </w14:solidFill>
          </w14:textFill>
        </w:rPr>
        <w:t>pH</w:t>
      </w:r>
      <w:r>
        <w:rPr>
          <w:rFonts w:hint="eastAsia" w:ascii="Times New Roman" w:hAnsi="Times New Roman" w:eastAsia="仿宋_GB2312" w:cs="Times New Roman"/>
          <w:color w:val="000000" w:themeColor="text1"/>
          <w:sz w:val="32"/>
          <w:szCs w:val="32"/>
          <w14:textFill>
            <w14:solidFill>
              <w14:schemeClr w14:val="tx1"/>
            </w14:solidFill>
          </w14:textFill>
        </w:rPr>
        <w:t>值、色泽稳定性等，以确保产品质量和功效。</w:t>
      </w:r>
      <w:bookmarkEnd w:id="48"/>
    </w:p>
    <w:p w14:paraId="673EF2FE">
      <w:pPr>
        <w:snapToGrid w:val="0"/>
        <w:spacing w:line="360" w:lineRule="auto"/>
        <w:ind w:firstLine="640" w:firstLineChars="200"/>
        <w:outlineLvl w:val="2"/>
        <w:rPr>
          <w:rFonts w:hint="eastAsia" w:ascii="仿宋_GB2312" w:hAnsi="仿宋" w:eastAsia="仿宋_GB2312" w:cs="仿宋"/>
          <w:bCs/>
          <w:color w:val="000000" w:themeColor="text1"/>
          <w:sz w:val="32"/>
          <w:szCs w:val="32"/>
          <w14:textFill>
            <w14:solidFill>
              <w14:schemeClr w14:val="tx1"/>
            </w14:solidFill>
          </w14:textFill>
        </w:rPr>
      </w:pPr>
      <w:bookmarkStart w:id="49" w:name="_Toc196159677"/>
      <w:bookmarkStart w:id="50" w:name="_Toc196159711"/>
      <w:bookmarkStart w:id="51" w:name="_Toc224907163"/>
      <w:r>
        <w:rPr>
          <w:rFonts w:ascii="Times New Roman" w:hAnsi="Times New Roman" w:eastAsia="仿宋_GB2312" w:cs="Times New Roman"/>
          <w:bCs/>
          <w:color w:val="000000" w:themeColor="text1"/>
          <w:sz w:val="32"/>
          <w:szCs w:val="32"/>
          <w14:textFill>
            <w14:solidFill>
              <w14:schemeClr w14:val="tx1"/>
            </w14:solidFill>
          </w14:textFill>
        </w:rPr>
        <w:t>2</w:t>
      </w:r>
      <w:bookmarkEnd w:id="49"/>
      <w:bookmarkEnd w:id="50"/>
      <w:r>
        <w:rPr>
          <w:rFonts w:hint="eastAsia" w:ascii="仿宋_GB2312" w:hAnsi="仿宋" w:eastAsia="仿宋_GB2312" w:cs="仿宋"/>
          <w:bCs/>
          <w:color w:val="000000" w:themeColor="text1"/>
          <w:sz w:val="32"/>
          <w:szCs w:val="32"/>
          <w14:textFill>
            <w14:solidFill>
              <w14:schemeClr w14:val="tx1"/>
            </w14:solidFill>
          </w14:textFill>
        </w:rPr>
        <w:t>.</w:t>
      </w:r>
      <w:r>
        <w:rPr>
          <w:rFonts w:ascii="仿宋_GB2312" w:hAnsi="仿宋" w:eastAsia="仿宋_GB2312" w:cs="仿宋"/>
          <w:bCs/>
          <w:color w:val="000000" w:themeColor="text1"/>
          <w:sz w:val="32"/>
          <w:szCs w:val="32"/>
          <w14:textFill>
            <w14:solidFill>
              <w14:schemeClr w14:val="tx1"/>
            </w14:solidFill>
          </w14:textFill>
        </w:rPr>
        <w:t>微生物项目</w:t>
      </w:r>
      <w:r>
        <w:rPr>
          <w:rFonts w:hint="eastAsia" w:ascii="仿宋_GB2312" w:hAnsi="仿宋" w:eastAsia="仿宋_GB2312" w:cs="仿宋"/>
          <w:bCs/>
          <w:color w:val="000000" w:themeColor="text1"/>
          <w:sz w:val="32"/>
          <w:szCs w:val="32"/>
          <w14:textFill>
            <w14:solidFill>
              <w14:schemeClr w14:val="tx1"/>
            </w14:solidFill>
          </w14:textFill>
        </w:rPr>
        <w:t>和指标</w:t>
      </w:r>
      <w:bookmarkEnd w:id="51"/>
    </w:p>
    <w:p w14:paraId="74FCD6F5">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52" w:name="_Hlk207645732"/>
      <w:r>
        <w:rPr>
          <w:rFonts w:hint="eastAsia" w:ascii="Times New Roman" w:hAnsi="Times New Roman" w:eastAsia="仿宋_GB2312" w:cs="Times New Roman"/>
          <w:color w:val="000000" w:themeColor="text1"/>
          <w:sz w:val="32"/>
          <w:szCs w:val="32"/>
          <w14:textFill>
            <w14:solidFill>
              <w14:schemeClr w14:val="tx1"/>
            </w14:solidFill>
          </w14:textFill>
        </w:rPr>
        <w:t>防晒化妆品应设置微生物项目和控制指标，微生物项目的控制指标均不得低于《技术规范》要求。鼓励设置更严格的微生物控制指标。</w:t>
      </w:r>
    </w:p>
    <w:p w14:paraId="22CF694B">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对于使用部位为眼部、口唇以及使用人群为儿童的防晒化妆品，菌落总数控制指标</w:t>
      </w:r>
      <w:r>
        <w:rPr>
          <w:rFonts w:hint="eastAsia" w:ascii="Times New Roman" w:hAnsi="Times New Roman" w:eastAsia="仿宋_GB2312" w:cs="Times New Roman"/>
          <w:color w:val="000000" w:themeColor="text1"/>
          <w:sz w:val="32"/>
          <w:szCs w:val="32"/>
          <w14:textFill>
            <w14:solidFill>
              <w14:schemeClr w14:val="tx1"/>
            </w14:solidFill>
          </w14:textFill>
        </w:rPr>
        <w:t>不得低于《技术规范》等相关技术文件要求</w:t>
      </w:r>
      <w:r>
        <w:rPr>
          <w:rFonts w:hint="eastAsia" w:ascii="仿宋_GB2312" w:hAnsi="仿宋" w:eastAsia="仿宋_GB2312" w:cs="仿宋"/>
          <w:color w:val="000000" w:themeColor="text1"/>
          <w:sz w:val="32"/>
          <w:szCs w:val="32"/>
          <w14:textFill>
            <w14:solidFill>
              <w14:schemeClr w14:val="tx1"/>
            </w14:solidFill>
          </w14:textFill>
        </w:rPr>
        <w:t>。</w:t>
      </w:r>
      <w:bookmarkEnd w:id="52"/>
    </w:p>
    <w:p w14:paraId="0A07387E">
      <w:pPr>
        <w:snapToGrid w:val="0"/>
        <w:spacing w:line="360" w:lineRule="auto"/>
        <w:ind w:firstLine="640" w:firstLineChars="200"/>
        <w:outlineLvl w:val="1"/>
        <w:rPr>
          <w:rFonts w:hint="eastAsia" w:ascii="楷体_GB2312" w:hAnsi="黑体" w:eastAsia="楷体_GB2312" w:cs="仿宋"/>
          <w:bCs/>
          <w:color w:val="000000" w:themeColor="text1"/>
          <w:sz w:val="32"/>
          <w:szCs w:val="32"/>
          <w14:textFill>
            <w14:solidFill>
              <w14:schemeClr w14:val="tx1"/>
            </w14:solidFill>
          </w14:textFill>
        </w:rPr>
      </w:pPr>
      <w:bookmarkStart w:id="53" w:name="_Toc224907164"/>
      <w:bookmarkStart w:id="54" w:name="_Toc126342744"/>
      <w:r>
        <w:rPr>
          <w:rFonts w:hint="eastAsia" w:ascii="楷体_GB2312" w:hAnsi="黑体" w:eastAsia="楷体_GB2312" w:cs="仿宋"/>
          <w:bCs/>
          <w:color w:val="000000" w:themeColor="text1"/>
          <w:sz w:val="32"/>
          <w:szCs w:val="32"/>
          <w14:textFill>
            <w14:solidFill>
              <w14:schemeClr w14:val="tx1"/>
            </w14:solidFill>
          </w14:textFill>
        </w:rPr>
        <w:t>（三）质量管理措施研究</w:t>
      </w:r>
      <w:bookmarkEnd w:id="53"/>
    </w:p>
    <w:bookmarkEnd w:id="54"/>
    <w:p w14:paraId="520EEFDF">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所有质量控制指标均至少采取</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项质量控制措施，并在“简要说明”中进一步阐述具体的实施方案，同一项目和指标的“质量管理措施”与“简要说明”应有对应关系，并与实际条件相符，具有可操作性，以确保产品符合《技术规范》以及产品执行的标准要求。</w:t>
      </w:r>
    </w:p>
    <w:p w14:paraId="22151D66">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质量控制措施可以采用检验方式或非检验方式。检验方式应明确合理的检验频次等。非检验方式包括但不限于原料相关指标控制、生产工艺流程管控等。</w:t>
      </w:r>
    </w:p>
    <w:p w14:paraId="1F158E4D">
      <w:pPr>
        <w:snapToGrid w:val="0"/>
        <w:spacing w:line="360" w:lineRule="auto"/>
        <w:ind w:firstLine="640" w:firstLineChars="200"/>
        <w:outlineLvl w:val="2"/>
        <w:rPr>
          <w:rFonts w:hint="eastAsia" w:ascii="仿宋_GB2312" w:hAnsi="仿宋" w:eastAsia="仿宋_GB2312" w:cs="仿宋"/>
          <w:bCs/>
          <w:color w:val="000000" w:themeColor="text1"/>
          <w:sz w:val="32"/>
          <w:szCs w:val="32"/>
          <w14:textFill>
            <w14:solidFill>
              <w14:schemeClr w14:val="tx1"/>
            </w14:solidFill>
          </w14:textFill>
        </w:rPr>
      </w:pPr>
      <w:bookmarkStart w:id="55" w:name="_Toc224907165"/>
      <w:r>
        <w:rPr>
          <w:rFonts w:ascii="Times New Roman" w:hAnsi="Times New Roman" w:eastAsia="仿宋_GB2312" w:cs="Times New Roman"/>
          <w:bCs/>
          <w:color w:val="000000" w:themeColor="text1"/>
          <w:sz w:val="32"/>
          <w:szCs w:val="32"/>
          <w14:textFill>
            <w14:solidFill>
              <w14:schemeClr w14:val="tx1"/>
            </w14:solidFill>
          </w14:textFill>
        </w:rPr>
        <w:t>1</w:t>
      </w:r>
      <w:r>
        <w:rPr>
          <w:rFonts w:hint="eastAsia" w:ascii="仿宋_GB2312" w:hAnsi="仿宋" w:eastAsia="仿宋_GB2312" w:cs="仿宋"/>
          <w:bCs/>
          <w:color w:val="000000" w:themeColor="text1"/>
          <w:sz w:val="32"/>
          <w:szCs w:val="32"/>
          <w14:textFill>
            <w14:solidFill>
              <w14:schemeClr w14:val="tx1"/>
            </w14:solidFill>
          </w14:textFill>
        </w:rPr>
        <w:t>.检验方式</w:t>
      </w:r>
      <w:bookmarkEnd w:id="55"/>
    </w:p>
    <w:p w14:paraId="1900D4F3">
      <w:pPr>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采用检验方式作为</w:t>
      </w:r>
      <w:r>
        <w:rPr>
          <w:rFonts w:ascii="Times New Roman" w:hAnsi="Times New Roman" w:eastAsia="仿宋_GB2312" w:cs="Times New Roman"/>
          <w:color w:val="000000" w:themeColor="text1"/>
          <w:sz w:val="32"/>
          <w:szCs w:val="32"/>
          <w14:textFill>
            <w14:solidFill>
              <w14:schemeClr w14:val="tx1"/>
            </w14:solidFill>
          </w14:textFill>
        </w:rPr>
        <w:t>理化指标的</w:t>
      </w:r>
      <w:r>
        <w:rPr>
          <w:rFonts w:hint="eastAsia" w:ascii="Times New Roman" w:hAnsi="Times New Roman" w:eastAsia="仿宋_GB2312" w:cs="Times New Roman"/>
          <w:color w:val="000000" w:themeColor="text1"/>
          <w:sz w:val="32"/>
          <w:szCs w:val="32"/>
          <w14:textFill>
            <w14:solidFill>
              <w14:schemeClr w14:val="tx1"/>
            </w14:solidFill>
          </w14:textFill>
        </w:rPr>
        <w:t>质量管理措施的，</w:t>
      </w:r>
      <w:r>
        <w:rPr>
          <w:rFonts w:hint="eastAsia" w:ascii="仿宋_GB2312" w:hAnsi="仿宋_GB2312" w:eastAsia="仿宋_GB2312" w:cs="仿宋_GB2312"/>
          <w:color w:val="000000" w:themeColor="text1"/>
          <w:sz w:val="32"/>
          <w:szCs w:val="32"/>
          <w14:textFill>
            <w14:solidFill>
              <w14:schemeClr w14:val="tx1"/>
            </w14:solidFill>
          </w14:textFill>
        </w:rPr>
        <w:t>原则上应当采用《技术规范》收载的检验方法，并有合理的检验频次。</w:t>
      </w:r>
    </w:p>
    <w:p w14:paraId="4FF631DD">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采用《技术规范》收载的检验方法作为质量管理措施的，应明确所采用检验方法的具体名称，如“按《技术规范》</w:t>
      </w:r>
      <w:r>
        <w:rPr>
          <w:rFonts w:ascii="Times New Roman" w:hAnsi="Times New Roman" w:eastAsia="仿宋_GB2312" w:cs="Times New Roman"/>
          <w:color w:val="000000" w:themeColor="text1"/>
          <w:sz w:val="32"/>
          <w:szCs w:val="32"/>
          <w14:textFill>
            <w14:solidFill>
              <w14:schemeClr w14:val="tx1"/>
            </w14:solidFill>
          </w14:textFill>
        </w:rPr>
        <w:t xml:space="preserve">5.4 </w:t>
      </w:r>
      <w:r>
        <w:rPr>
          <w:rFonts w:hint="eastAsia" w:ascii="Times New Roman" w:hAnsi="Times New Roman" w:eastAsia="仿宋_GB2312" w:cs="Times New Roman"/>
          <w:color w:val="000000" w:themeColor="text1"/>
          <w:sz w:val="32"/>
          <w:szCs w:val="32"/>
          <w14:textFill>
            <w14:solidFill>
              <w14:schemeClr w14:val="tx1"/>
            </w14:solidFill>
          </w14:textFill>
        </w:rPr>
        <w:t>二乙氨羟苯甲酰基苯甲酸己酯的方法进行检验”“按《技术规范》</w:t>
      </w:r>
      <w:r>
        <w:rPr>
          <w:rFonts w:ascii="Times New Roman" w:hAnsi="Times New Roman" w:eastAsia="仿宋_GB2312" w:cs="Times New Roman"/>
          <w:color w:val="000000" w:themeColor="text1"/>
          <w:sz w:val="32"/>
          <w:szCs w:val="32"/>
          <w14:textFill>
            <w14:solidFill>
              <w14:schemeClr w14:val="tx1"/>
            </w14:solidFill>
          </w14:textFill>
        </w:rPr>
        <w:t xml:space="preserve">1.2 </w:t>
      </w:r>
      <w:r>
        <w:rPr>
          <w:rFonts w:hint="eastAsia" w:ascii="Times New Roman" w:hAnsi="Times New Roman" w:eastAsia="仿宋_GB2312" w:cs="Times New Roman"/>
          <w:color w:val="000000" w:themeColor="text1"/>
          <w:sz w:val="32"/>
          <w:szCs w:val="32"/>
          <w14:textFill>
            <w14:solidFill>
              <w14:schemeClr w14:val="tx1"/>
            </w14:solidFill>
          </w14:textFill>
        </w:rPr>
        <w:t>汞第一法氢化物原子荧光光度法进行检验”等。</w:t>
      </w:r>
    </w:p>
    <w:p w14:paraId="32E3BEFB">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采用《技术规范》以外的检验方法作为质量管理措施的，如果《技术规范》有该项目的检验方法，拟采用的</w:t>
      </w:r>
      <w:r>
        <w:rPr>
          <w:rFonts w:hint="eastAsia" w:ascii="仿宋_GB2312" w:hAnsi="仿宋_GB2312" w:eastAsia="仿宋_GB2312" w:cs="仿宋_GB2312"/>
          <w:color w:val="000000" w:themeColor="text1"/>
          <w:sz w:val="32"/>
          <w:szCs w:val="32"/>
          <w14:textFill>
            <w14:solidFill>
              <w14:schemeClr w14:val="tx1"/>
            </w14:solidFill>
          </w14:textFill>
        </w:rPr>
        <w:t>检验方法</w:t>
      </w:r>
      <w:r>
        <w:rPr>
          <w:rFonts w:hint="eastAsia" w:ascii="Times New Roman" w:hAnsi="Times New Roman" w:eastAsia="仿宋_GB2312" w:cs="Times New Roman"/>
          <w:color w:val="000000" w:themeColor="text1"/>
          <w:sz w:val="32"/>
          <w:szCs w:val="32"/>
          <w14:textFill>
            <w14:solidFill>
              <w14:schemeClr w14:val="tx1"/>
            </w14:solidFill>
          </w14:textFill>
        </w:rPr>
        <w:t>应当与《技术规范》收载的具体检验方法开展验证，验证结果应符合要求。</w:t>
      </w:r>
    </w:p>
    <w:p w14:paraId="662278E6">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对于《技术规范》暂无检验方法的项目，应对所采用的方法开展充分的方法学验证，以确保方法的准确性和可靠性。</w:t>
      </w:r>
    </w:p>
    <w:p w14:paraId="538507F7">
      <w:pPr>
        <w:snapToGrid w:val="0"/>
        <w:spacing w:line="360" w:lineRule="auto"/>
        <w:ind w:firstLine="640" w:firstLineChars="200"/>
        <w:outlineLvl w:val="2"/>
        <w:rPr>
          <w:rFonts w:hint="eastAsia" w:ascii="仿宋_GB2312" w:hAnsi="仿宋" w:eastAsia="仿宋_GB2312" w:cs="仿宋"/>
          <w:bCs/>
          <w:color w:val="000000" w:themeColor="text1"/>
          <w:sz w:val="32"/>
          <w:szCs w:val="32"/>
          <w14:textFill>
            <w14:solidFill>
              <w14:schemeClr w14:val="tx1"/>
            </w14:solidFill>
          </w14:textFill>
        </w:rPr>
      </w:pPr>
      <w:bookmarkStart w:id="56" w:name="_Toc224907166"/>
      <w:r>
        <w:rPr>
          <w:rFonts w:ascii="Times New Roman" w:hAnsi="Times New Roman" w:eastAsia="仿宋_GB2312" w:cs="Times New Roman"/>
          <w:bCs/>
          <w:color w:val="000000" w:themeColor="text1"/>
          <w:sz w:val="32"/>
          <w:szCs w:val="32"/>
          <w14:textFill>
            <w14:solidFill>
              <w14:schemeClr w14:val="tx1"/>
            </w14:solidFill>
          </w14:textFill>
        </w:rPr>
        <w:t>2</w:t>
      </w:r>
      <w:r>
        <w:rPr>
          <w:rFonts w:hint="eastAsia" w:ascii="仿宋_GB2312" w:hAnsi="仿宋" w:eastAsia="仿宋_GB2312" w:cs="仿宋"/>
          <w:bCs/>
          <w:color w:val="000000" w:themeColor="text1"/>
          <w:sz w:val="32"/>
          <w:szCs w:val="32"/>
          <w14:textFill>
            <w14:solidFill>
              <w14:schemeClr w14:val="tx1"/>
            </w14:solidFill>
          </w14:textFill>
        </w:rPr>
        <w:t>.非检验方式</w:t>
      </w:r>
      <w:bookmarkEnd w:id="56"/>
    </w:p>
    <w:p w14:paraId="318F6499">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57" w:name="_Hlk207644261"/>
      <w:bookmarkStart w:id="58" w:name="_Hlk207893481"/>
      <w:r>
        <w:rPr>
          <w:rFonts w:ascii="Times New Roman" w:hAnsi="Times New Roman" w:eastAsia="仿宋_GB2312" w:cs="Times New Roman"/>
          <w:color w:val="000000" w:themeColor="text1"/>
          <w:sz w:val="32"/>
          <w:szCs w:val="32"/>
          <w14:textFill>
            <w14:solidFill>
              <w14:schemeClr w14:val="tx1"/>
            </w14:solidFill>
          </w14:textFill>
        </w:rPr>
        <w:t>采用非检验方式</w:t>
      </w:r>
      <w:r>
        <w:rPr>
          <w:rFonts w:hint="eastAsia" w:ascii="Times New Roman" w:hAnsi="Times New Roman" w:eastAsia="仿宋_GB2312" w:cs="Times New Roman"/>
          <w:color w:val="000000" w:themeColor="text1"/>
          <w:sz w:val="32"/>
          <w:szCs w:val="32"/>
          <w14:textFill>
            <w14:solidFill>
              <w14:schemeClr w14:val="tx1"/>
            </w14:solidFill>
          </w14:textFill>
        </w:rPr>
        <w:t>作为</w:t>
      </w:r>
      <w:r>
        <w:rPr>
          <w:rFonts w:ascii="Times New Roman" w:hAnsi="Times New Roman" w:eastAsia="仿宋_GB2312" w:cs="Times New Roman"/>
          <w:color w:val="000000" w:themeColor="text1"/>
          <w:sz w:val="32"/>
          <w:szCs w:val="32"/>
          <w14:textFill>
            <w14:solidFill>
              <w14:schemeClr w14:val="tx1"/>
            </w14:solidFill>
          </w14:textFill>
        </w:rPr>
        <w:t>质量管理措施</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，措施</w:t>
      </w:r>
      <w:r>
        <w:rPr>
          <w:rFonts w:hint="eastAsia" w:ascii="Times New Roman" w:hAnsi="Times New Roman" w:eastAsia="仿宋_GB2312" w:cs="Times New Roman"/>
          <w:color w:val="000000" w:themeColor="text1"/>
          <w:sz w:val="32"/>
          <w:szCs w:val="32"/>
          <w14:textFill>
            <w14:solidFill>
              <w14:schemeClr w14:val="tx1"/>
            </w14:solidFill>
          </w14:textFill>
        </w:rPr>
        <w:t>中应当有具体、合理的实施方案，以确保产品符合《技术规范》</w:t>
      </w:r>
      <w:r>
        <w:rPr>
          <w:rFonts w:hint="eastAsia" w:ascii="仿宋_GB2312" w:hAnsi="仿宋_GB2312" w:eastAsia="仿宋_GB2312" w:cs="仿宋_GB2312"/>
          <w:color w:val="000000" w:themeColor="text1"/>
          <w:sz w:val="32"/>
          <w:szCs w:val="32"/>
          <w14:textFill>
            <w14:solidFill>
              <w14:schemeClr w14:val="tx1"/>
            </w14:solidFill>
          </w14:textFill>
        </w:rPr>
        <w:t>《资料管理规定》</w:t>
      </w:r>
      <w:r>
        <w:rPr>
          <w:rFonts w:hint="eastAsia" w:ascii="Times New Roman" w:hAnsi="Times New Roman" w:eastAsia="仿宋_GB2312" w:cs="Times New Roman"/>
          <w:color w:val="000000" w:themeColor="text1"/>
          <w:sz w:val="32"/>
          <w:szCs w:val="32"/>
          <w14:textFill>
            <w14:solidFill>
              <w14:schemeClr w14:val="tx1"/>
            </w14:solidFill>
          </w14:textFill>
        </w:rPr>
        <w:t>和产品执行的标准的要求。</w:t>
      </w:r>
      <w:bookmarkStart w:id="59" w:name="_Toc126342745"/>
      <w:r>
        <w:rPr>
          <w:rFonts w:hint="eastAsia" w:ascii="Times New Roman" w:hAnsi="Times New Roman" w:eastAsia="仿宋_GB2312" w:cs="Times New Roman"/>
          <w:color w:val="000000" w:themeColor="text1"/>
          <w:sz w:val="32"/>
          <w:szCs w:val="32"/>
          <w14:textFill>
            <w14:solidFill>
              <w14:schemeClr w14:val="tx1"/>
            </w14:solidFill>
          </w14:textFill>
        </w:rPr>
        <w:t>若采用原料控制方式，实施方案</w:t>
      </w:r>
      <w:r>
        <w:rPr>
          <w:rFonts w:ascii="Times New Roman" w:hAnsi="Times New Roman" w:eastAsia="仿宋_GB2312" w:cs="Times New Roman"/>
          <w:color w:val="000000" w:themeColor="text1"/>
          <w:sz w:val="32"/>
          <w:szCs w:val="32"/>
          <w14:textFill>
            <w14:solidFill>
              <w14:schemeClr w14:val="tx1"/>
            </w14:solidFill>
          </w14:textFill>
        </w:rPr>
        <w:t>应与</w:t>
      </w:r>
      <w:r>
        <w:rPr>
          <w:rFonts w:hint="eastAsia" w:ascii="Times New Roman" w:hAnsi="Times New Roman" w:eastAsia="仿宋_GB2312" w:cs="Times New Roman"/>
          <w:color w:val="000000" w:themeColor="text1"/>
          <w:sz w:val="32"/>
          <w:szCs w:val="32"/>
          <w14:textFill>
            <w14:solidFill>
              <w14:schemeClr w14:val="tx1"/>
            </w14:solidFill>
          </w14:textFill>
        </w:rPr>
        <w:t>质量规格文件等技术资料</w:t>
      </w:r>
      <w:r>
        <w:rPr>
          <w:rFonts w:ascii="Times New Roman" w:hAnsi="Times New Roman" w:eastAsia="仿宋_GB2312" w:cs="Times New Roman"/>
          <w:color w:val="000000" w:themeColor="text1"/>
          <w:sz w:val="32"/>
          <w:szCs w:val="32"/>
          <w14:textFill>
            <w14:solidFill>
              <w14:schemeClr w14:val="tx1"/>
            </w14:solidFill>
          </w14:textFill>
        </w:rPr>
        <w:t>相符</w:t>
      </w:r>
      <w:r>
        <w:rPr>
          <w:rFonts w:hint="eastAsia" w:ascii="Times New Roman" w:hAnsi="Times New Roman" w:eastAsia="仿宋_GB2312" w:cs="Times New Roman"/>
          <w:color w:val="000000" w:themeColor="text1"/>
          <w:sz w:val="32"/>
          <w:szCs w:val="32"/>
          <w14:textFill>
            <w14:solidFill>
              <w14:schemeClr w14:val="tx1"/>
            </w14:solidFill>
          </w14:textFill>
        </w:rPr>
        <w:t>；若</w:t>
      </w:r>
      <w:r>
        <w:rPr>
          <w:rFonts w:ascii="Times New Roman" w:hAnsi="Times New Roman" w:eastAsia="仿宋_GB2312" w:cs="Times New Roman"/>
          <w:color w:val="000000" w:themeColor="text1"/>
          <w:sz w:val="32"/>
          <w:szCs w:val="32"/>
          <w14:textFill>
            <w14:solidFill>
              <w14:schemeClr w14:val="tx1"/>
            </w14:solidFill>
          </w14:textFill>
        </w:rPr>
        <w:t>采用生产工艺流程管控方式，</w:t>
      </w:r>
      <w:r>
        <w:rPr>
          <w:rFonts w:hint="eastAsia" w:ascii="Times New Roman" w:hAnsi="Times New Roman" w:eastAsia="仿宋_GB2312" w:cs="Times New Roman"/>
          <w:color w:val="000000" w:themeColor="text1"/>
          <w:sz w:val="32"/>
          <w:szCs w:val="32"/>
          <w14:textFill>
            <w14:solidFill>
              <w14:schemeClr w14:val="tx1"/>
            </w14:solidFill>
          </w14:textFill>
        </w:rPr>
        <w:t>实施方案</w:t>
      </w:r>
      <w:r>
        <w:rPr>
          <w:rFonts w:ascii="Times New Roman" w:hAnsi="Times New Roman" w:eastAsia="仿宋_GB2312" w:cs="Times New Roman"/>
          <w:color w:val="000000" w:themeColor="text1"/>
          <w:sz w:val="32"/>
          <w:szCs w:val="32"/>
          <w14:textFill>
            <w14:solidFill>
              <w14:schemeClr w14:val="tx1"/>
            </w14:solidFill>
          </w14:textFill>
        </w:rPr>
        <w:t>内容应与相应的质量控制项目和指标相符。</w:t>
      </w:r>
      <w:bookmarkEnd w:id="57"/>
    </w:p>
    <w:p w14:paraId="65132190">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60" w:name="_Hlk207644201"/>
      <w:r>
        <w:rPr>
          <w:rFonts w:hint="eastAsia" w:ascii="Times New Roman" w:hAnsi="Times New Roman" w:eastAsia="仿宋_GB2312" w:cs="Times New Roman"/>
          <w:color w:val="000000" w:themeColor="text1"/>
          <w:sz w:val="32"/>
          <w:szCs w:val="32"/>
          <w14:textFill>
            <w14:solidFill>
              <w14:schemeClr w14:val="tx1"/>
            </w14:solidFill>
          </w14:textFill>
        </w:rPr>
        <w:t>防晒剂作为功效成分，其质量管理措施仅采取“原料相关指标控制”方式无法保证防晒剂指标符合要求</w:t>
      </w:r>
      <w:bookmarkEnd w:id="24"/>
      <w:bookmarkEnd w:id="59"/>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可以采用“生产工艺流程管控”，或采用非检验方式与检验方式相结合的质量管理措施。</w:t>
      </w:r>
      <w:bookmarkEnd w:id="60"/>
    </w:p>
    <w:p w14:paraId="29FB854E">
      <w:pPr>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61" w:name="OLE_LINK17"/>
      <w:bookmarkStart w:id="62" w:name="OLE_LINK18"/>
      <w:bookmarkStart w:id="63" w:name="OLE_LINK12"/>
      <w:bookmarkStart w:id="64" w:name="OLE_LINK13"/>
      <w:bookmarkStart w:id="65" w:name="_Hlk207645216"/>
      <w:r>
        <w:rPr>
          <w:rFonts w:hint="eastAsia" w:ascii="Times New Roman" w:hAnsi="Times New Roman" w:eastAsia="仿宋_GB2312" w:cs="Times New Roman"/>
          <w:color w:val="000000" w:themeColor="text1"/>
          <w:sz w:val="32"/>
          <w:szCs w:val="32"/>
          <w14:textFill>
            <w14:solidFill>
              <w14:schemeClr w14:val="tx1"/>
            </w14:solidFill>
          </w14:textFill>
        </w:rPr>
        <w:t>对于《技术规范》中有检验方法的防晒剂</w:t>
      </w:r>
      <w:bookmarkEnd w:id="61"/>
      <w:bookmarkEnd w:id="62"/>
      <w:r>
        <w:rPr>
          <w:rFonts w:hint="eastAsia" w:ascii="Times New Roman" w:hAnsi="Times New Roman" w:eastAsia="仿宋_GB2312" w:cs="Times New Roman"/>
          <w:color w:val="000000" w:themeColor="text1"/>
          <w:sz w:val="32"/>
          <w:szCs w:val="32"/>
          <w14:textFill>
            <w14:solidFill>
              <w14:schemeClr w14:val="tx1"/>
            </w14:solidFill>
          </w14:textFill>
        </w:rPr>
        <w:t>，鼓励防晒剂项目的质量管理措施中包含检验方式。</w:t>
      </w:r>
      <w:bookmarkEnd w:id="63"/>
      <w:bookmarkEnd w:id="64"/>
      <w:r>
        <w:rPr>
          <w:rFonts w:hint="eastAsia" w:ascii="Times New Roman" w:hAnsi="Times New Roman" w:eastAsia="仿宋_GB2312" w:cs="Times New Roman"/>
          <w:color w:val="000000" w:themeColor="text1"/>
          <w:sz w:val="32"/>
          <w:szCs w:val="32"/>
          <w14:textFill>
            <w14:solidFill>
              <w14:schemeClr w14:val="tx1"/>
            </w14:solidFill>
          </w14:textFill>
        </w:rPr>
        <w:t>对于《技术规范》暂无检验方法的防晒剂，质量管理措施可以采用非检验方式，如生产工艺流程管控等。</w:t>
      </w:r>
      <w:bookmarkEnd w:id="58"/>
      <w:r>
        <w:rPr>
          <w:rFonts w:hint="eastAsia" w:ascii="Times New Roman" w:hAnsi="Times New Roman" w:eastAsia="仿宋_GB2312" w:cs="仿宋_GB2312"/>
          <w:sz w:val="32"/>
          <w:szCs w:val="32"/>
        </w:rPr>
        <w:t>当配方中某防晒剂含量低于《技术规范》中对应检验方法的定量限时，其质量管理措施不宜采用检验方式，可采用其他科学合理的质量管理措施，如生产工艺流程管控等。</w:t>
      </w:r>
    </w:p>
    <w:bookmarkEnd w:id="65"/>
    <w:p w14:paraId="3135BBB5">
      <w:pPr>
        <w:snapToGrid w:val="0"/>
        <w:spacing w:line="360" w:lineRule="auto"/>
        <w:ind w:firstLine="643" w:firstLineChars="200"/>
        <w:outlineLvl w:val="0"/>
        <w:rPr>
          <w:rFonts w:hint="eastAsia" w:ascii="黑体" w:hAnsi="黑体" w:eastAsia="黑体" w:cs="黑体"/>
          <w:b/>
          <w:bCs/>
          <w:color w:val="000000" w:themeColor="text1"/>
          <w:sz w:val="32"/>
          <w:szCs w:val="32"/>
          <w14:textFill>
            <w14:solidFill>
              <w14:schemeClr w14:val="tx1"/>
            </w14:solidFill>
          </w14:textFill>
        </w:rPr>
      </w:pPr>
      <w:bookmarkStart w:id="66" w:name="_Toc224907167"/>
      <w:r>
        <w:rPr>
          <w:rFonts w:hint="eastAsia" w:ascii="黑体" w:hAnsi="黑体" w:eastAsia="黑体" w:cs="黑体"/>
          <w:b/>
          <w:bCs/>
          <w:color w:val="000000" w:themeColor="text1"/>
          <w:sz w:val="32"/>
          <w:szCs w:val="32"/>
          <w14:textFill>
            <w14:solidFill>
              <w14:schemeClr w14:val="tx1"/>
            </w14:solidFill>
          </w14:textFill>
        </w:rPr>
        <w:t>五、其他要求</w:t>
      </w:r>
      <w:bookmarkEnd w:id="66"/>
    </w:p>
    <w:p w14:paraId="756ED555">
      <w:pPr>
        <w:snapToGrid w:val="0"/>
        <w:spacing w:line="360" w:lineRule="auto"/>
        <w:ind w:firstLine="64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在进行防晒化妆品质量控制要求研究时，还应考虑产品的感官指标（颜色、性状、气味等）、贮存条件、使用期限等，确保产品质量的稳定可控。</w:t>
      </w:r>
    </w:p>
    <w:p w14:paraId="6B213744">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sectPr>
      <w:footerReference r:id="rId7" w:type="first"/>
      <w:footerReference r:id="rId5" w:type="default"/>
      <w:footerReference r:id="rId6"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E254">
    <w:pPr>
      <w:pStyle w:val="8"/>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9113761"/>
      <w:showingPlcHdr/>
    </w:sdtPr>
    <w:sdtContent>
      <w:p w14:paraId="0BCC0EF9">
        <w:pPr>
          <w:pStyle w:val="8"/>
        </w:pPr>
      </w:p>
    </w:sdtContent>
  </w:sdt>
  <w:p w14:paraId="2E672EC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8A5D">
    <w:pPr>
      <w:pStyle w:val="8"/>
      <w:jc w:val="right"/>
    </w:pPr>
    <w:sdt>
      <w:sdtPr>
        <w:id w:val="-606742898"/>
        <w:docPartObj>
          <w:docPartGallery w:val="autotext"/>
        </w:docPartObj>
      </w:sdtPr>
      <w:sdtContent>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Fonts w:ascii="宋体" w:hAnsi="宋体"/>
            <w:sz w:val="28"/>
            <w:szCs w:val="28"/>
          </w:rP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CFAE">
    <w:pPr>
      <w:pStyle w:val="8"/>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450365"/>
      <w:docPartObj>
        <w:docPartGallery w:val="autotext"/>
      </w:docPartObj>
    </w:sdtPr>
    <w:sdtContent>
      <w:p w14:paraId="446FB28A">
        <w:pPr>
          <w:pStyle w:val="8"/>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hint="eastAsia" w:ascii="宋体" w:hAnsi="宋体"/>
            <w:sz w:val="28"/>
            <w:szCs w:val="28"/>
          </w:rPr>
          <w:t>1</w:t>
        </w:r>
        <w:r>
          <w:rPr>
            <w:rFonts w:ascii="宋体" w:hAnsi="宋体"/>
            <w:sz w:val="28"/>
            <w:szCs w:val="28"/>
          </w:rPr>
          <w:fldChar w:fldCharType="end"/>
        </w:r>
        <w:r>
          <w:rPr>
            <w:rFonts w:ascii="宋体" w:hAnsi="宋体"/>
            <w:sz w:val="28"/>
            <w:szCs w:val="28"/>
          </w:rPr>
          <w:t xml:space="preserve"> —</w:t>
        </w:r>
      </w:p>
    </w:sdtContent>
  </w:sdt>
  <w:p w14:paraId="3E760EEC">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NDI4OTY1NGJmMzIyOTgwNTg2MmZjMjg0NWIxMjAifQ=="/>
  </w:docVars>
  <w:rsids>
    <w:rsidRoot w:val="00B75B78"/>
    <w:rsid w:val="000000E2"/>
    <w:rsid w:val="00001EE0"/>
    <w:rsid w:val="000026FB"/>
    <w:rsid w:val="000046AB"/>
    <w:rsid w:val="00004B51"/>
    <w:rsid w:val="00005A0B"/>
    <w:rsid w:val="00005FDC"/>
    <w:rsid w:val="00007078"/>
    <w:rsid w:val="0001258F"/>
    <w:rsid w:val="00012B53"/>
    <w:rsid w:val="000145F1"/>
    <w:rsid w:val="00015048"/>
    <w:rsid w:val="000163A6"/>
    <w:rsid w:val="00016820"/>
    <w:rsid w:val="0001752F"/>
    <w:rsid w:val="00017F9E"/>
    <w:rsid w:val="00023AEE"/>
    <w:rsid w:val="000241AB"/>
    <w:rsid w:val="00024C95"/>
    <w:rsid w:val="00027A76"/>
    <w:rsid w:val="00034593"/>
    <w:rsid w:val="00034F92"/>
    <w:rsid w:val="00037841"/>
    <w:rsid w:val="00037D7F"/>
    <w:rsid w:val="00054B35"/>
    <w:rsid w:val="00054E12"/>
    <w:rsid w:val="000557D7"/>
    <w:rsid w:val="0006213F"/>
    <w:rsid w:val="000632DF"/>
    <w:rsid w:val="0006524F"/>
    <w:rsid w:val="000653EB"/>
    <w:rsid w:val="00065F73"/>
    <w:rsid w:val="000733D1"/>
    <w:rsid w:val="00074498"/>
    <w:rsid w:val="000750A8"/>
    <w:rsid w:val="000754C0"/>
    <w:rsid w:val="00076F4A"/>
    <w:rsid w:val="0007758B"/>
    <w:rsid w:val="000803A2"/>
    <w:rsid w:val="00080A92"/>
    <w:rsid w:val="000828E1"/>
    <w:rsid w:val="00084124"/>
    <w:rsid w:val="00086DA3"/>
    <w:rsid w:val="00087B61"/>
    <w:rsid w:val="00090004"/>
    <w:rsid w:val="00093783"/>
    <w:rsid w:val="000942AA"/>
    <w:rsid w:val="000A2333"/>
    <w:rsid w:val="000A3BB9"/>
    <w:rsid w:val="000A49C4"/>
    <w:rsid w:val="000A53AF"/>
    <w:rsid w:val="000A5A0A"/>
    <w:rsid w:val="000A5CB0"/>
    <w:rsid w:val="000B040C"/>
    <w:rsid w:val="000B32B4"/>
    <w:rsid w:val="000B33E9"/>
    <w:rsid w:val="000B42C0"/>
    <w:rsid w:val="000B7855"/>
    <w:rsid w:val="000B797F"/>
    <w:rsid w:val="000C1576"/>
    <w:rsid w:val="000D028A"/>
    <w:rsid w:val="000D3375"/>
    <w:rsid w:val="000D4136"/>
    <w:rsid w:val="000E3156"/>
    <w:rsid w:val="000E715B"/>
    <w:rsid w:val="000F1620"/>
    <w:rsid w:val="000F27FA"/>
    <w:rsid w:val="000F2C1E"/>
    <w:rsid w:val="00100A4B"/>
    <w:rsid w:val="001013BF"/>
    <w:rsid w:val="00101F17"/>
    <w:rsid w:val="00102239"/>
    <w:rsid w:val="001049B6"/>
    <w:rsid w:val="001050AD"/>
    <w:rsid w:val="001072BD"/>
    <w:rsid w:val="001103FB"/>
    <w:rsid w:val="00110D0A"/>
    <w:rsid w:val="00112696"/>
    <w:rsid w:val="00114A4D"/>
    <w:rsid w:val="00115650"/>
    <w:rsid w:val="00116811"/>
    <w:rsid w:val="0012638A"/>
    <w:rsid w:val="00127FDB"/>
    <w:rsid w:val="00130B83"/>
    <w:rsid w:val="00132CA4"/>
    <w:rsid w:val="001356CD"/>
    <w:rsid w:val="00135795"/>
    <w:rsid w:val="00135997"/>
    <w:rsid w:val="00136BFE"/>
    <w:rsid w:val="00137707"/>
    <w:rsid w:val="0013793E"/>
    <w:rsid w:val="001440F5"/>
    <w:rsid w:val="00144BC8"/>
    <w:rsid w:val="00144E0B"/>
    <w:rsid w:val="001502CA"/>
    <w:rsid w:val="00152D98"/>
    <w:rsid w:val="00152E36"/>
    <w:rsid w:val="0015316B"/>
    <w:rsid w:val="001550D4"/>
    <w:rsid w:val="00156F20"/>
    <w:rsid w:val="001577F1"/>
    <w:rsid w:val="00157DB6"/>
    <w:rsid w:val="00160596"/>
    <w:rsid w:val="001610AE"/>
    <w:rsid w:val="00162345"/>
    <w:rsid w:val="0016323A"/>
    <w:rsid w:val="00163C39"/>
    <w:rsid w:val="00164023"/>
    <w:rsid w:val="00164152"/>
    <w:rsid w:val="001653DF"/>
    <w:rsid w:val="00166390"/>
    <w:rsid w:val="001665BE"/>
    <w:rsid w:val="00166757"/>
    <w:rsid w:val="00166C9C"/>
    <w:rsid w:val="001718D8"/>
    <w:rsid w:val="001766BF"/>
    <w:rsid w:val="00177CA1"/>
    <w:rsid w:val="00177F78"/>
    <w:rsid w:val="0018220A"/>
    <w:rsid w:val="00182BBE"/>
    <w:rsid w:val="00183D90"/>
    <w:rsid w:val="0018765F"/>
    <w:rsid w:val="00190342"/>
    <w:rsid w:val="001931CE"/>
    <w:rsid w:val="001A34C1"/>
    <w:rsid w:val="001A3BD4"/>
    <w:rsid w:val="001A3D9A"/>
    <w:rsid w:val="001A4159"/>
    <w:rsid w:val="001A46C4"/>
    <w:rsid w:val="001A474C"/>
    <w:rsid w:val="001A7371"/>
    <w:rsid w:val="001A7707"/>
    <w:rsid w:val="001A7E14"/>
    <w:rsid w:val="001B00DF"/>
    <w:rsid w:val="001B0A61"/>
    <w:rsid w:val="001B264A"/>
    <w:rsid w:val="001B5038"/>
    <w:rsid w:val="001B6C2F"/>
    <w:rsid w:val="001B7D96"/>
    <w:rsid w:val="001C12C0"/>
    <w:rsid w:val="001C37B5"/>
    <w:rsid w:val="001C5957"/>
    <w:rsid w:val="001D0989"/>
    <w:rsid w:val="001D1C96"/>
    <w:rsid w:val="001D24C8"/>
    <w:rsid w:val="001D33E4"/>
    <w:rsid w:val="001D43E3"/>
    <w:rsid w:val="001D44A2"/>
    <w:rsid w:val="001D65C6"/>
    <w:rsid w:val="001D7CF7"/>
    <w:rsid w:val="001F0C08"/>
    <w:rsid w:val="001F12D7"/>
    <w:rsid w:val="001F1A4D"/>
    <w:rsid w:val="001F2AC9"/>
    <w:rsid w:val="001F4521"/>
    <w:rsid w:val="001F69D4"/>
    <w:rsid w:val="001F7C0E"/>
    <w:rsid w:val="00207636"/>
    <w:rsid w:val="00210B5E"/>
    <w:rsid w:val="00213BDA"/>
    <w:rsid w:val="002147A3"/>
    <w:rsid w:val="00215E69"/>
    <w:rsid w:val="002216E8"/>
    <w:rsid w:val="00223296"/>
    <w:rsid w:val="00225F0A"/>
    <w:rsid w:val="002275AB"/>
    <w:rsid w:val="002301C5"/>
    <w:rsid w:val="00230927"/>
    <w:rsid w:val="00231AF2"/>
    <w:rsid w:val="00232D34"/>
    <w:rsid w:val="00234EA9"/>
    <w:rsid w:val="00236E4C"/>
    <w:rsid w:val="0024139A"/>
    <w:rsid w:val="00242AE1"/>
    <w:rsid w:val="00243D89"/>
    <w:rsid w:val="002452C6"/>
    <w:rsid w:val="00245443"/>
    <w:rsid w:val="00246102"/>
    <w:rsid w:val="00251B46"/>
    <w:rsid w:val="00252BFE"/>
    <w:rsid w:val="002546DE"/>
    <w:rsid w:val="00257DBC"/>
    <w:rsid w:val="0026021E"/>
    <w:rsid w:val="00260FBA"/>
    <w:rsid w:val="00262AF3"/>
    <w:rsid w:val="00263492"/>
    <w:rsid w:val="00265650"/>
    <w:rsid w:val="002670F5"/>
    <w:rsid w:val="00267520"/>
    <w:rsid w:val="002703AD"/>
    <w:rsid w:val="00273113"/>
    <w:rsid w:val="00280881"/>
    <w:rsid w:val="00282732"/>
    <w:rsid w:val="00283E91"/>
    <w:rsid w:val="00284495"/>
    <w:rsid w:val="002851C4"/>
    <w:rsid w:val="002869BA"/>
    <w:rsid w:val="00291449"/>
    <w:rsid w:val="00292FD7"/>
    <w:rsid w:val="002934C2"/>
    <w:rsid w:val="00296D39"/>
    <w:rsid w:val="002A1E20"/>
    <w:rsid w:val="002A3A15"/>
    <w:rsid w:val="002A3D28"/>
    <w:rsid w:val="002A7F69"/>
    <w:rsid w:val="002B0055"/>
    <w:rsid w:val="002B0155"/>
    <w:rsid w:val="002B5270"/>
    <w:rsid w:val="002B5A05"/>
    <w:rsid w:val="002B6601"/>
    <w:rsid w:val="002B7A9C"/>
    <w:rsid w:val="002C1609"/>
    <w:rsid w:val="002C2F03"/>
    <w:rsid w:val="002D3B24"/>
    <w:rsid w:val="002D7092"/>
    <w:rsid w:val="002E0A7F"/>
    <w:rsid w:val="002F49AC"/>
    <w:rsid w:val="002F6DC2"/>
    <w:rsid w:val="002F7E52"/>
    <w:rsid w:val="00303035"/>
    <w:rsid w:val="00305362"/>
    <w:rsid w:val="003058F8"/>
    <w:rsid w:val="00306487"/>
    <w:rsid w:val="003078CE"/>
    <w:rsid w:val="0031029D"/>
    <w:rsid w:val="00310A13"/>
    <w:rsid w:val="00311B1E"/>
    <w:rsid w:val="00312D58"/>
    <w:rsid w:val="003132D9"/>
    <w:rsid w:val="00315627"/>
    <w:rsid w:val="003161D8"/>
    <w:rsid w:val="003172A8"/>
    <w:rsid w:val="00321EAA"/>
    <w:rsid w:val="00322DCD"/>
    <w:rsid w:val="00322FFA"/>
    <w:rsid w:val="00323EC2"/>
    <w:rsid w:val="00324140"/>
    <w:rsid w:val="00324C50"/>
    <w:rsid w:val="003259EC"/>
    <w:rsid w:val="00330556"/>
    <w:rsid w:val="00330F12"/>
    <w:rsid w:val="003325EC"/>
    <w:rsid w:val="00332E7F"/>
    <w:rsid w:val="00335181"/>
    <w:rsid w:val="00335D0D"/>
    <w:rsid w:val="00340BF6"/>
    <w:rsid w:val="00341EE0"/>
    <w:rsid w:val="00344D79"/>
    <w:rsid w:val="00344FDA"/>
    <w:rsid w:val="00350E88"/>
    <w:rsid w:val="00353EBA"/>
    <w:rsid w:val="00360EFE"/>
    <w:rsid w:val="00362147"/>
    <w:rsid w:val="0036306F"/>
    <w:rsid w:val="003657E5"/>
    <w:rsid w:val="00367C37"/>
    <w:rsid w:val="00370765"/>
    <w:rsid w:val="00370BF3"/>
    <w:rsid w:val="00374289"/>
    <w:rsid w:val="00377CB1"/>
    <w:rsid w:val="00377CC6"/>
    <w:rsid w:val="00377F3B"/>
    <w:rsid w:val="0038143A"/>
    <w:rsid w:val="00381CB4"/>
    <w:rsid w:val="00382CAD"/>
    <w:rsid w:val="00383BB4"/>
    <w:rsid w:val="0038613C"/>
    <w:rsid w:val="00386C45"/>
    <w:rsid w:val="0038740A"/>
    <w:rsid w:val="00387B63"/>
    <w:rsid w:val="0039063B"/>
    <w:rsid w:val="00395801"/>
    <w:rsid w:val="00397A53"/>
    <w:rsid w:val="003A02B0"/>
    <w:rsid w:val="003A49AF"/>
    <w:rsid w:val="003A4C23"/>
    <w:rsid w:val="003A5BDB"/>
    <w:rsid w:val="003A5D1C"/>
    <w:rsid w:val="003A6047"/>
    <w:rsid w:val="003B102B"/>
    <w:rsid w:val="003B1125"/>
    <w:rsid w:val="003B3EA6"/>
    <w:rsid w:val="003B4703"/>
    <w:rsid w:val="003B4D72"/>
    <w:rsid w:val="003B5243"/>
    <w:rsid w:val="003B5727"/>
    <w:rsid w:val="003B63BE"/>
    <w:rsid w:val="003C388F"/>
    <w:rsid w:val="003C43A2"/>
    <w:rsid w:val="003C5C38"/>
    <w:rsid w:val="003C75D3"/>
    <w:rsid w:val="003C7873"/>
    <w:rsid w:val="003D1B62"/>
    <w:rsid w:val="003D39EC"/>
    <w:rsid w:val="003D4CFD"/>
    <w:rsid w:val="003E1494"/>
    <w:rsid w:val="003E3063"/>
    <w:rsid w:val="003E4C3C"/>
    <w:rsid w:val="003E4D06"/>
    <w:rsid w:val="003E79EC"/>
    <w:rsid w:val="003F2A7F"/>
    <w:rsid w:val="003F31BF"/>
    <w:rsid w:val="003F327C"/>
    <w:rsid w:val="003F42D3"/>
    <w:rsid w:val="003F4481"/>
    <w:rsid w:val="003F7271"/>
    <w:rsid w:val="004013A1"/>
    <w:rsid w:val="004015E2"/>
    <w:rsid w:val="00402241"/>
    <w:rsid w:val="00402BD0"/>
    <w:rsid w:val="00407512"/>
    <w:rsid w:val="00407FC8"/>
    <w:rsid w:val="00412485"/>
    <w:rsid w:val="004136FF"/>
    <w:rsid w:val="00415E7A"/>
    <w:rsid w:val="00416A3F"/>
    <w:rsid w:val="00421B34"/>
    <w:rsid w:val="004237C7"/>
    <w:rsid w:val="00424328"/>
    <w:rsid w:val="00426399"/>
    <w:rsid w:val="0042688E"/>
    <w:rsid w:val="00433057"/>
    <w:rsid w:val="004415B9"/>
    <w:rsid w:val="004417A7"/>
    <w:rsid w:val="004419C8"/>
    <w:rsid w:val="004423A1"/>
    <w:rsid w:val="00443697"/>
    <w:rsid w:val="00450DE9"/>
    <w:rsid w:val="00451477"/>
    <w:rsid w:val="004516BA"/>
    <w:rsid w:val="004518E2"/>
    <w:rsid w:val="00452786"/>
    <w:rsid w:val="00452E5E"/>
    <w:rsid w:val="004544B6"/>
    <w:rsid w:val="004567CB"/>
    <w:rsid w:val="004569BC"/>
    <w:rsid w:val="00460555"/>
    <w:rsid w:val="00462D63"/>
    <w:rsid w:val="0046306E"/>
    <w:rsid w:val="00464DDB"/>
    <w:rsid w:val="004672DE"/>
    <w:rsid w:val="00474532"/>
    <w:rsid w:val="00474668"/>
    <w:rsid w:val="00476E29"/>
    <w:rsid w:val="00482CE6"/>
    <w:rsid w:val="00483604"/>
    <w:rsid w:val="00485D96"/>
    <w:rsid w:val="00487DA1"/>
    <w:rsid w:val="00491747"/>
    <w:rsid w:val="00491E0D"/>
    <w:rsid w:val="00493F25"/>
    <w:rsid w:val="00496E0A"/>
    <w:rsid w:val="004A0CF4"/>
    <w:rsid w:val="004A0FCB"/>
    <w:rsid w:val="004A23D7"/>
    <w:rsid w:val="004A386D"/>
    <w:rsid w:val="004A3E65"/>
    <w:rsid w:val="004A446D"/>
    <w:rsid w:val="004B0D00"/>
    <w:rsid w:val="004B1997"/>
    <w:rsid w:val="004B430B"/>
    <w:rsid w:val="004B44EC"/>
    <w:rsid w:val="004B5FD3"/>
    <w:rsid w:val="004B7492"/>
    <w:rsid w:val="004B7567"/>
    <w:rsid w:val="004C0697"/>
    <w:rsid w:val="004C08BF"/>
    <w:rsid w:val="004C0E82"/>
    <w:rsid w:val="004C11FB"/>
    <w:rsid w:val="004C1B06"/>
    <w:rsid w:val="004C2133"/>
    <w:rsid w:val="004D0BE6"/>
    <w:rsid w:val="004D27E4"/>
    <w:rsid w:val="004D422E"/>
    <w:rsid w:val="004E08D7"/>
    <w:rsid w:val="004E1144"/>
    <w:rsid w:val="004E1FD7"/>
    <w:rsid w:val="004E3AB8"/>
    <w:rsid w:val="004E4163"/>
    <w:rsid w:val="004E4558"/>
    <w:rsid w:val="004E5CC4"/>
    <w:rsid w:val="004E5F89"/>
    <w:rsid w:val="004F0C09"/>
    <w:rsid w:val="004F1882"/>
    <w:rsid w:val="004F1F97"/>
    <w:rsid w:val="004F2B79"/>
    <w:rsid w:val="004F451D"/>
    <w:rsid w:val="0050471A"/>
    <w:rsid w:val="005070CF"/>
    <w:rsid w:val="00510458"/>
    <w:rsid w:val="00511AFC"/>
    <w:rsid w:val="00513253"/>
    <w:rsid w:val="00513726"/>
    <w:rsid w:val="00514549"/>
    <w:rsid w:val="0051710A"/>
    <w:rsid w:val="005210EB"/>
    <w:rsid w:val="00521411"/>
    <w:rsid w:val="00524093"/>
    <w:rsid w:val="00524DD8"/>
    <w:rsid w:val="005273E2"/>
    <w:rsid w:val="00527E60"/>
    <w:rsid w:val="005302D5"/>
    <w:rsid w:val="00534131"/>
    <w:rsid w:val="00534DD6"/>
    <w:rsid w:val="005367C2"/>
    <w:rsid w:val="00536A1F"/>
    <w:rsid w:val="00536B61"/>
    <w:rsid w:val="00537B42"/>
    <w:rsid w:val="00541339"/>
    <w:rsid w:val="00543241"/>
    <w:rsid w:val="0055151D"/>
    <w:rsid w:val="00551766"/>
    <w:rsid w:val="00551AD8"/>
    <w:rsid w:val="00552546"/>
    <w:rsid w:val="00557926"/>
    <w:rsid w:val="0056069B"/>
    <w:rsid w:val="00562BFD"/>
    <w:rsid w:val="00564BC8"/>
    <w:rsid w:val="00565025"/>
    <w:rsid w:val="00570259"/>
    <w:rsid w:val="00571698"/>
    <w:rsid w:val="005716C8"/>
    <w:rsid w:val="005761EF"/>
    <w:rsid w:val="005772A8"/>
    <w:rsid w:val="005810FF"/>
    <w:rsid w:val="00582954"/>
    <w:rsid w:val="00583265"/>
    <w:rsid w:val="00583D91"/>
    <w:rsid w:val="005841CA"/>
    <w:rsid w:val="005877E9"/>
    <w:rsid w:val="005915D1"/>
    <w:rsid w:val="00593325"/>
    <w:rsid w:val="0059478F"/>
    <w:rsid w:val="00596DC6"/>
    <w:rsid w:val="00597B00"/>
    <w:rsid w:val="00597E96"/>
    <w:rsid w:val="005A40F3"/>
    <w:rsid w:val="005A5442"/>
    <w:rsid w:val="005A54FB"/>
    <w:rsid w:val="005A561C"/>
    <w:rsid w:val="005A6713"/>
    <w:rsid w:val="005B0C92"/>
    <w:rsid w:val="005B1448"/>
    <w:rsid w:val="005B4C04"/>
    <w:rsid w:val="005B796B"/>
    <w:rsid w:val="005C0407"/>
    <w:rsid w:val="005C460E"/>
    <w:rsid w:val="005C4E26"/>
    <w:rsid w:val="005C50A3"/>
    <w:rsid w:val="005C52ED"/>
    <w:rsid w:val="005C5374"/>
    <w:rsid w:val="005C65C7"/>
    <w:rsid w:val="005D3A15"/>
    <w:rsid w:val="005D433D"/>
    <w:rsid w:val="005D50A3"/>
    <w:rsid w:val="005E049E"/>
    <w:rsid w:val="005E0CEB"/>
    <w:rsid w:val="005E1FFB"/>
    <w:rsid w:val="005E22D7"/>
    <w:rsid w:val="005F16FA"/>
    <w:rsid w:val="005F173F"/>
    <w:rsid w:val="005F1831"/>
    <w:rsid w:val="005F2811"/>
    <w:rsid w:val="005F3D1D"/>
    <w:rsid w:val="005F47AC"/>
    <w:rsid w:val="005F5A05"/>
    <w:rsid w:val="005F5A72"/>
    <w:rsid w:val="005F75DA"/>
    <w:rsid w:val="005F78FD"/>
    <w:rsid w:val="005F7DDA"/>
    <w:rsid w:val="00601068"/>
    <w:rsid w:val="006029EC"/>
    <w:rsid w:val="00602B25"/>
    <w:rsid w:val="00604017"/>
    <w:rsid w:val="006062DD"/>
    <w:rsid w:val="00606A99"/>
    <w:rsid w:val="00613111"/>
    <w:rsid w:val="00613984"/>
    <w:rsid w:val="006168A5"/>
    <w:rsid w:val="006172BD"/>
    <w:rsid w:val="00622134"/>
    <w:rsid w:val="0062333A"/>
    <w:rsid w:val="00624737"/>
    <w:rsid w:val="006253EE"/>
    <w:rsid w:val="006271C4"/>
    <w:rsid w:val="00627B39"/>
    <w:rsid w:val="00627FE0"/>
    <w:rsid w:val="0063165B"/>
    <w:rsid w:val="0063231B"/>
    <w:rsid w:val="00632E0D"/>
    <w:rsid w:val="00632E80"/>
    <w:rsid w:val="0063332F"/>
    <w:rsid w:val="00640334"/>
    <w:rsid w:val="006424C7"/>
    <w:rsid w:val="00643F8C"/>
    <w:rsid w:val="00646060"/>
    <w:rsid w:val="00647104"/>
    <w:rsid w:val="0065122A"/>
    <w:rsid w:val="00652A6E"/>
    <w:rsid w:val="0065503B"/>
    <w:rsid w:val="006558F7"/>
    <w:rsid w:val="00657B8D"/>
    <w:rsid w:val="00660D51"/>
    <w:rsid w:val="006626BC"/>
    <w:rsid w:val="00662C17"/>
    <w:rsid w:val="00670299"/>
    <w:rsid w:val="006758A8"/>
    <w:rsid w:val="00676C5D"/>
    <w:rsid w:val="006813B2"/>
    <w:rsid w:val="00682BF2"/>
    <w:rsid w:val="00684C27"/>
    <w:rsid w:val="00685503"/>
    <w:rsid w:val="00691450"/>
    <w:rsid w:val="00692AB1"/>
    <w:rsid w:val="00693AC6"/>
    <w:rsid w:val="00693D45"/>
    <w:rsid w:val="006951EB"/>
    <w:rsid w:val="00695E36"/>
    <w:rsid w:val="00696613"/>
    <w:rsid w:val="006976D4"/>
    <w:rsid w:val="006A4A90"/>
    <w:rsid w:val="006B1BEE"/>
    <w:rsid w:val="006B212E"/>
    <w:rsid w:val="006B34F9"/>
    <w:rsid w:val="006B447B"/>
    <w:rsid w:val="006B525E"/>
    <w:rsid w:val="006C18DD"/>
    <w:rsid w:val="006C2796"/>
    <w:rsid w:val="006C28E5"/>
    <w:rsid w:val="006D042F"/>
    <w:rsid w:val="006D2175"/>
    <w:rsid w:val="006D3CC5"/>
    <w:rsid w:val="006E25FF"/>
    <w:rsid w:val="006E5037"/>
    <w:rsid w:val="006E67B6"/>
    <w:rsid w:val="0070277E"/>
    <w:rsid w:val="00703477"/>
    <w:rsid w:val="00703BEB"/>
    <w:rsid w:val="00704492"/>
    <w:rsid w:val="007108A9"/>
    <w:rsid w:val="00713B8F"/>
    <w:rsid w:val="007152FE"/>
    <w:rsid w:val="0071619E"/>
    <w:rsid w:val="00716DF4"/>
    <w:rsid w:val="00717EA6"/>
    <w:rsid w:val="00720305"/>
    <w:rsid w:val="00721462"/>
    <w:rsid w:val="0072154E"/>
    <w:rsid w:val="007233A8"/>
    <w:rsid w:val="00723D82"/>
    <w:rsid w:val="00724553"/>
    <w:rsid w:val="00727B0F"/>
    <w:rsid w:val="0073026F"/>
    <w:rsid w:val="00731758"/>
    <w:rsid w:val="007320D0"/>
    <w:rsid w:val="00732288"/>
    <w:rsid w:val="00732E6E"/>
    <w:rsid w:val="00733402"/>
    <w:rsid w:val="0073490F"/>
    <w:rsid w:val="007364E2"/>
    <w:rsid w:val="007369A5"/>
    <w:rsid w:val="007378E7"/>
    <w:rsid w:val="00741D7B"/>
    <w:rsid w:val="0074308B"/>
    <w:rsid w:val="00743E8A"/>
    <w:rsid w:val="00744CF4"/>
    <w:rsid w:val="0074672D"/>
    <w:rsid w:val="007527FC"/>
    <w:rsid w:val="0075382D"/>
    <w:rsid w:val="007543C4"/>
    <w:rsid w:val="00762EF0"/>
    <w:rsid w:val="00763419"/>
    <w:rsid w:val="00764198"/>
    <w:rsid w:val="007642DC"/>
    <w:rsid w:val="00766CF1"/>
    <w:rsid w:val="00766E2E"/>
    <w:rsid w:val="00767592"/>
    <w:rsid w:val="00770915"/>
    <w:rsid w:val="0077192E"/>
    <w:rsid w:val="0077301A"/>
    <w:rsid w:val="00781C58"/>
    <w:rsid w:val="00782519"/>
    <w:rsid w:val="007834FF"/>
    <w:rsid w:val="00786D10"/>
    <w:rsid w:val="00793DF7"/>
    <w:rsid w:val="0079412A"/>
    <w:rsid w:val="007966A9"/>
    <w:rsid w:val="00796C9F"/>
    <w:rsid w:val="007A1296"/>
    <w:rsid w:val="007A1340"/>
    <w:rsid w:val="007A70BB"/>
    <w:rsid w:val="007B11FA"/>
    <w:rsid w:val="007B2C62"/>
    <w:rsid w:val="007B535D"/>
    <w:rsid w:val="007B6949"/>
    <w:rsid w:val="007B7E16"/>
    <w:rsid w:val="007C0F8F"/>
    <w:rsid w:val="007C2D43"/>
    <w:rsid w:val="007C5CD2"/>
    <w:rsid w:val="007C618F"/>
    <w:rsid w:val="007C65BF"/>
    <w:rsid w:val="007C6A4E"/>
    <w:rsid w:val="007C7108"/>
    <w:rsid w:val="007D21E2"/>
    <w:rsid w:val="007D28E0"/>
    <w:rsid w:val="007D3455"/>
    <w:rsid w:val="007D66B0"/>
    <w:rsid w:val="007E5635"/>
    <w:rsid w:val="007E5857"/>
    <w:rsid w:val="007E7538"/>
    <w:rsid w:val="007F227E"/>
    <w:rsid w:val="007F2F52"/>
    <w:rsid w:val="00802E18"/>
    <w:rsid w:val="00804086"/>
    <w:rsid w:val="008041DF"/>
    <w:rsid w:val="0080460E"/>
    <w:rsid w:val="00804A06"/>
    <w:rsid w:val="00805676"/>
    <w:rsid w:val="00806460"/>
    <w:rsid w:val="00806AE8"/>
    <w:rsid w:val="00807611"/>
    <w:rsid w:val="00812658"/>
    <w:rsid w:val="00812F85"/>
    <w:rsid w:val="00815F8A"/>
    <w:rsid w:val="00816EEF"/>
    <w:rsid w:val="00817538"/>
    <w:rsid w:val="0082444E"/>
    <w:rsid w:val="00827794"/>
    <w:rsid w:val="00834A5D"/>
    <w:rsid w:val="0083663C"/>
    <w:rsid w:val="008414C5"/>
    <w:rsid w:val="008418A7"/>
    <w:rsid w:val="008435C2"/>
    <w:rsid w:val="00845EC5"/>
    <w:rsid w:val="0084701C"/>
    <w:rsid w:val="0085571B"/>
    <w:rsid w:val="0085676A"/>
    <w:rsid w:val="00857AB2"/>
    <w:rsid w:val="008625CD"/>
    <w:rsid w:val="008671E6"/>
    <w:rsid w:val="008711C9"/>
    <w:rsid w:val="0087161B"/>
    <w:rsid w:val="008717AF"/>
    <w:rsid w:val="00875AD5"/>
    <w:rsid w:val="00877046"/>
    <w:rsid w:val="00877AB0"/>
    <w:rsid w:val="00877B1A"/>
    <w:rsid w:val="00880643"/>
    <w:rsid w:val="00887CB4"/>
    <w:rsid w:val="008906C7"/>
    <w:rsid w:val="008923DB"/>
    <w:rsid w:val="00894821"/>
    <w:rsid w:val="00896096"/>
    <w:rsid w:val="008967BD"/>
    <w:rsid w:val="00897685"/>
    <w:rsid w:val="00897981"/>
    <w:rsid w:val="008A3FEE"/>
    <w:rsid w:val="008A4E83"/>
    <w:rsid w:val="008B259D"/>
    <w:rsid w:val="008B57C1"/>
    <w:rsid w:val="008B5CC7"/>
    <w:rsid w:val="008B75CF"/>
    <w:rsid w:val="008C450F"/>
    <w:rsid w:val="008C7E68"/>
    <w:rsid w:val="008D1A08"/>
    <w:rsid w:val="008D2973"/>
    <w:rsid w:val="008D3207"/>
    <w:rsid w:val="008D778A"/>
    <w:rsid w:val="008E03C6"/>
    <w:rsid w:val="008E1273"/>
    <w:rsid w:val="008E2AE0"/>
    <w:rsid w:val="008E517C"/>
    <w:rsid w:val="008E6806"/>
    <w:rsid w:val="008F1748"/>
    <w:rsid w:val="008F21BE"/>
    <w:rsid w:val="008F3CE9"/>
    <w:rsid w:val="008F7353"/>
    <w:rsid w:val="0090097F"/>
    <w:rsid w:val="00902BC7"/>
    <w:rsid w:val="00905A43"/>
    <w:rsid w:val="00911820"/>
    <w:rsid w:val="00912EAB"/>
    <w:rsid w:val="00913050"/>
    <w:rsid w:val="009132F4"/>
    <w:rsid w:val="00913B4E"/>
    <w:rsid w:val="00913ED4"/>
    <w:rsid w:val="009164F7"/>
    <w:rsid w:val="0092707A"/>
    <w:rsid w:val="009274BE"/>
    <w:rsid w:val="00927C32"/>
    <w:rsid w:val="0093052F"/>
    <w:rsid w:val="00931416"/>
    <w:rsid w:val="0093201A"/>
    <w:rsid w:val="00935D9A"/>
    <w:rsid w:val="00941A81"/>
    <w:rsid w:val="0095459B"/>
    <w:rsid w:val="00955C13"/>
    <w:rsid w:val="00956685"/>
    <w:rsid w:val="00957A45"/>
    <w:rsid w:val="00960374"/>
    <w:rsid w:val="00961DE2"/>
    <w:rsid w:val="00963083"/>
    <w:rsid w:val="00963212"/>
    <w:rsid w:val="00963F30"/>
    <w:rsid w:val="00966A54"/>
    <w:rsid w:val="00966DAF"/>
    <w:rsid w:val="009676E0"/>
    <w:rsid w:val="00972B8B"/>
    <w:rsid w:val="00975424"/>
    <w:rsid w:val="00976CA9"/>
    <w:rsid w:val="009803FA"/>
    <w:rsid w:val="00980B13"/>
    <w:rsid w:val="00982F0E"/>
    <w:rsid w:val="0098320C"/>
    <w:rsid w:val="00984511"/>
    <w:rsid w:val="00984C49"/>
    <w:rsid w:val="0098542F"/>
    <w:rsid w:val="00986250"/>
    <w:rsid w:val="00992A1B"/>
    <w:rsid w:val="00993CD0"/>
    <w:rsid w:val="00994B02"/>
    <w:rsid w:val="00996210"/>
    <w:rsid w:val="009A1D6D"/>
    <w:rsid w:val="009A1FC3"/>
    <w:rsid w:val="009A2B5B"/>
    <w:rsid w:val="009A4EBB"/>
    <w:rsid w:val="009A6428"/>
    <w:rsid w:val="009A7E2F"/>
    <w:rsid w:val="009B04C1"/>
    <w:rsid w:val="009B13E6"/>
    <w:rsid w:val="009B145A"/>
    <w:rsid w:val="009B2318"/>
    <w:rsid w:val="009B48C3"/>
    <w:rsid w:val="009B6A83"/>
    <w:rsid w:val="009B6C4D"/>
    <w:rsid w:val="009C04EC"/>
    <w:rsid w:val="009C3232"/>
    <w:rsid w:val="009C614D"/>
    <w:rsid w:val="009C6CF3"/>
    <w:rsid w:val="009D000C"/>
    <w:rsid w:val="009D03A3"/>
    <w:rsid w:val="009D04CC"/>
    <w:rsid w:val="009D1214"/>
    <w:rsid w:val="009D35DB"/>
    <w:rsid w:val="009D47B3"/>
    <w:rsid w:val="009D5B00"/>
    <w:rsid w:val="009D6E00"/>
    <w:rsid w:val="009E0049"/>
    <w:rsid w:val="009E20B5"/>
    <w:rsid w:val="009E21F7"/>
    <w:rsid w:val="009E6251"/>
    <w:rsid w:val="009E6DED"/>
    <w:rsid w:val="009F4EB1"/>
    <w:rsid w:val="009F4FDC"/>
    <w:rsid w:val="009F6FC0"/>
    <w:rsid w:val="00A00F96"/>
    <w:rsid w:val="00A01658"/>
    <w:rsid w:val="00A026F6"/>
    <w:rsid w:val="00A0457E"/>
    <w:rsid w:val="00A05D00"/>
    <w:rsid w:val="00A0778E"/>
    <w:rsid w:val="00A10188"/>
    <w:rsid w:val="00A15DB0"/>
    <w:rsid w:val="00A17073"/>
    <w:rsid w:val="00A24B27"/>
    <w:rsid w:val="00A300DE"/>
    <w:rsid w:val="00A31885"/>
    <w:rsid w:val="00A352F3"/>
    <w:rsid w:val="00A35B77"/>
    <w:rsid w:val="00A35CF1"/>
    <w:rsid w:val="00A36BF3"/>
    <w:rsid w:val="00A40832"/>
    <w:rsid w:val="00A422C2"/>
    <w:rsid w:val="00A45FA2"/>
    <w:rsid w:val="00A47C0B"/>
    <w:rsid w:val="00A50D97"/>
    <w:rsid w:val="00A510AF"/>
    <w:rsid w:val="00A513A2"/>
    <w:rsid w:val="00A52250"/>
    <w:rsid w:val="00A5647C"/>
    <w:rsid w:val="00A56D3B"/>
    <w:rsid w:val="00A63A12"/>
    <w:rsid w:val="00A7112E"/>
    <w:rsid w:val="00A7183F"/>
    <w:rsid w:val="00A71E1F"/>
    <w:rsid w:val="00A71ED3"/>
    <w:rsid w:val="00A80232"/>
    <w:rsid w:val="00A812B3"/>
    <w:rsid w:val="00A82EA6"/>
    <w:rsid w:val="00A8520B"/>
    <w:rsid w:val="00A857CA"/>
    <w:rsid w:val="00A869FF"/>
    <w:rsid w:val="00A928C4"/>
    <w:rsid w:val="00A94CB1"/>
    <w:rsid w:val="00A97588"/>
    <w:rsid w:val="00AA1BFC"/>
    <w:rsid w:val="00AA2644"/>
    <w:rsid w:val="00AA2771"/>
    <w:rsid w:val="00AA2B05"/>
    <w:rsid w:val="00AB2896"/>
    <w:rsid w:val="00AB2EB1"/>
    <w:rsid w:val="00AB3B12"/>
    <w:rsid w:val="00AB4BE8"/>
    <w:rsid w:val="00AB6718"/>
    <w:rsid w:val="00AB7B4E"/>
    <w:rsid w:val="00AC021D"/>
    <w:rsid w:val="00AC5E86"/>
    <w:rsid w:val="00AC609B"/>
    <w:rsid w:val="00AD3ECE"/>
    <w:rsid w:val="00AD4C4B"/>
    <w:rsid w:val="00AE0830"/>
    <w:rsid w:val="00AE0904"/>
    <w:rsid w:val="00AE169C"/>
    <w:rsid w:val="00AE19C4"/>
    <w:rsid w:val="00AE22A9"/>
    <w:rsid w:val="00AE3CDA"/>
    <w:rsid w:val="00AE4814"/>
    <w:rsid w:val="00AE48B1"/>
    <w:rsid w:val="00AE48FB"/>
    <w:rsid w:val="00AE5128"/>
    <w:rsid w:val="00AE5653"/>
    <w:rsid w:val="00AE582A"/>
    <w:rsid w:val="00AE58AD"/>
    <w:rsid w:val="00AE642A"/>
    <w:rsid w:val="00AF2D46"/>
    <w:rsid w:val="00AF44FA"/>
    <w:rsid w:val="00AF4B51"/>
    <w:rsid w:val="00AF4EC3"/>
    <w:rsid w:val="00AF4EE1"/>
    <w:rsid w:val="00AF5B32"/>
    <w:rsid w:val="00AF7FDF"/>
    <w:rsid w:val="00B010E4"/>
    <w:rsid w:val="00B01768"/>
    <w:rsid w:val="00B05574"/>
    <w:rsid w:val="00B060D4"/>
    <w:rsid w:val="00B128E2"/>
    <w:rsid w:val="00B134EC"/>
    <w:rsid w:val="00B158E0"/>
    <w:rsid w:val="00B15B94"/>
    <w:rsid w:val="00B17518"/>
    <w:rsid w:val="00B211CF"/>
    <w:rsid w:val="00B21CA9"/>
    <w:rsid w:val="00B2232D"/>
    <w:rsid w:val="00B2295A"/>
    <w:rsid w:val="00B236EC"/>
    <w:rsid w:val="00B237AE"/>
    <w:rsid w:val="00B23954"/>
    <w:rsid w:val="00B2438B"/>
    <w:rsid w:val="00B24BB6"/>
    <w:rsid w:val="00B24FBE"/>
    <w:rsid w:val="00B26B12"/>
    <w:rsid w:val="00B27393"/>
    <w:rsid w:val="00B3009C"/>
    <w:rsid w:val="00B306E5"/>
    <w:rsid w:val="00B3480F"/>
    <w:rsid w:val="00B35F2B"/>
    <w:rsid w:val="00B36A94"/>
    <w:rsid w:val="00B41AAF"/>
    <w:rsid w:val="00B424F1"/>
    <w:rsid w:val="00B42DCF"/>
    <w:rsid w:val="00B47BE4"/>
    <w:rsid w:val="00B50DEA"/>
    <w:rsid w:val="00B51359"/>
    <w:rsid w:val="00B51FDD"/>
    <w:rsid w:val="00B547D5"/>
    <w:rsid w:val="00B627CA"/>
    <w:rsid w:val="00B72970"/>
    <w:rsid w:val="00B73525"/>
    <w:rsid w:val="00B75517"/>
    <w:rsid w:val="00B75B78"/>
    <w:rsid w:val="00B7740B"/>
    <w:rsid w:val="00B83CFC"/>
    <w:rsid w:val="00B84606"/>
    <w:rsid w:val="00B846B9"/>
    <w:rsid w:val="00B86787"/>
    <w:rsid w:val="00B869E4"/>
    <w:rsid w:val="00B86B2B"/>
    <w:rsid w:val="00B8710D"/>
    <w:rsid w:val="00B920B3"/>
    <w:rsid w:val="00B92767"/>
    <w:rsid w:val="00B9588F"/>
    <w:rsid w:val="00BA1A24"/>
    <w:rsid w:val="00BA29C1"/>
    <w:rsid w:val="00BA43CE"/>
    <w:rsid w:val="00BB438C"/>
    <w:rsid w:val="00BB598C"/>
    <w:rsid w:val="00BB62AD"/>
    <w:rsid w:val="00BB744F"/>
    <w:rsid w:val="00BB7960"/>
    <w:rsid w:val="00BC021F"/>
    <w:rsid w:val="00BC2059"/>
    <w:rsid w:val="00BC403C"/>
    <w:rsid w:val="00BC6DF6"/>
    <w:rsid w:val="00BD3178"/>
    <w:rsid w:val="00BD33FB"/>
    <w:rsid w:val="00BD35E8"/>
    <w:rsid w:val="00BD72CE"/>
    <w:rsid w:val="00BE07AA"/>
    <w:rsid w:val="00BE62C0"/>
    <w:rsid w:val="00BE6E8C"/>
    <w:rsid w:val="00BE70C6"/>
    <w:rsid w:val="00BF133B"/>
    <w:rsid w:val="00BF144D"/>
    <w:rsid w:val="00BF1A9B"/>
    <w:rsid w:val="00BF21B4"/>
    <w:rsid w:val="00BF2734"/>
    <w:rsid w:val="00BF2E79"/>
    <w:rsid w:val="00BF3157"/>
    <w:rsid w:val="00BF5DFD"/>
    <w:rsid w:val="00BF61C6"/>
    <w:rsid w:val="00BF7644"/>
    <w:rsid w:val="00C00379"/>
    <w:rsid w:val="00C01D99"/>
    <w:rsid w:val="00C03E93"/>
    <w:rsid w:val="00C04D82"/>
    <w:rsid w:val="00C072B3"/>
    <w:rsid w:val="00C11F47"/>
    <w:rsid w:val="00C12C6F"/>
    <w:rsid w:val="00C131B1"/>
    <w:rsid w:val="00C133A5"/>
    <w:rsid w:val="00C139E5"/>
    <w:rsid w:val="00C1492B"/>
    <w:rsid w:val="00C16472"/>
    <w:rsid w:val="00C16C3A"/>
    <w:rsid w:val="00C21E02"/>
    <w:rsid w:val="00C2327B"/>
    <w:rsid w:val="00C2532D"/>
    <w:rsid w:val="00C26250"/>
    <w:rsid w:val="00C32827"/>
    <w:rsid w:val="00C33CC8"/>
    <w:rsid w:val="00C35C5A"/>
    <w:rsid w:val="00C40070"/>
    <w:rsid w:val="00C4263D"/>
    <w:rsid w:val="00C43C27"/>
    <w:rsid w:val="00C44920"/>
    <w:rsid w:val="00C46AA7"/>
    <w:rsid w:val="00C470DF"/>
    <w:rsid w:val="00C47488"/>
    <w:rsid w:val="00C501A2"/>
    <w:rsid w:val="00C50D93"/>
    <w:rsid w:val="00C51074"/>
    <w:rsid w:val="00C51561"/>
    <w:rsid w:val="00C574BA"/>
    <w:rsid w:val="00C57AD1"/>
    <w:rsid w:val="00C6069B"/>
    <w:rsid w:val="00C606C7"/>
    <w:rsid w:val="00C61790"/>
    <w:rsid w:val="00C661DA"/>
    <w:rsid w:val="00C66F27"/>
    <w:rsid w:val="00C70C04"/>
    <w:rsid w:val="00C735D4"/>
    <w:rsid w:val="00C7389C"/>
    <w:rsid w:val="00C73E7D"/>
    <w:rsid w:val="00C74AAF"/>
    <w:rsid w:val="00C7657B"/>
    <w:rsid w:val="00C777C4"/>
    <w:rsid w:val="00C81624"/>
    <w:rsid w:val="00C81A8D"/>
    <w:rsid w:val="00C82300"/>
    <w:rsid w:val="00C83485"/>
    <w:rsid w:val="00C92FB2"/>
    <w:rsid w:val="00C9315F"/>
    <w:rsid w:val="00C93612"/>
    <w:rsid w:val="00C94D3A"/>
    <w:rsid w:val="00C95FBE"/>
    <w:rsid w:val="00CA2892"/>
    <w:rsid w:val="00CA3F59"/>
    <w:rsid w:val="00CA4829"/>
    <w:rsid w:val="00CA5E9F"/>
    <w:rsid w:val="00CA65E9"/>
    <w:rsid w:val="00CA6A32"/>
    <w:rsid w:val="00CA701A"/>
    <w:rsid w:val="00CA7035"/>
    <w:rsid w:val="00CB2135"/>
    <w:rsid w:val="00CB3118"/>
    <w:rsid w:val="00CB419C"/>
    <w:rsid w:val="00CB72BD"/>
    <w:rsid w:val="00CC0115"/>
    <w:rsid w:val="00CC0A30"/>
    <w:rsid w:val="00CC26AF"/>
    <w:rsid w:val="00CC5724"/>
    <w:rsid w:val="00CC5A00"/>
    <w:rsid w:val="00CD143B"/>
    <w:rsid w:val="00CD190C"/>
    <w:rsid w:val="00CD4390"/>
    <w:rsid w:val="00CD66B3"/>
    <w:rsid w:val="00CE161D"/>
    <w:rsid w:val="00CE185A"/>
    <w:rsid w:val="00CE5692"/>
    <w:rsid w:val="00CE6082"/>
    <w:rsid w:val="00CE63F6"/>
    <w:rsid w:val="00CF0069"/>
    <w:rsid w:val="00CF18FC"/>
    <w:rsid w:val="00CF1EE8"/>
    <w:rsid w:val="00CF41AD"/>
    <w:rsid w:val="00CF4360"/>
    <w:rsid w:val="00D0266B"/>
    <w:rsid w:val="00D03C1B"/>
    <w:rsid w:val="00D03E19"/>
    <w:rsid w:val="00D05214"/>
    <w:rsid w:val="00D07322"/>
    <w:rsid w:val="00D10171"/>
    <w:rsid w:val="00D10D87"/>
    <w:rsid w:val="00D1286D"/>
    <w:rsid w:val="00D13CFF"/>
    <w:rsid w:val="00D14142"/>
    <w:rsid w:val="00D14CD1"/>
    <w:rsid w:val="00D151A5"/>
    <w:rsid w:val="00D1540B"/>
    <w:rsid w:val="00D17035"/>
    <w:rsid w:val="00D17E8C"/>
    <w:rsid w:val="00D257CB"/>
    <w:rsid w:val="00D26014"/>
    <w:rsid w:val="00D26329"/>
    <w:rsid w:val="00D27A15"/>
    <w:rsid w:val="00D27F37"/>
    <w:rsid w:val="00D33594"/>
    <w:rsid w:val="00D40FFF"/>
    <w:rsid w:val="00D4141F"/>
    <w:rsid w:val="00D4315E"/>
    <w:rsid w:val="00D437C6"/>
    <w:rsid w:val="00D44769"/>
    <w:rsid w:val="00D453C4"/>
    <w:rsid w:val="00D461DE"/>
    <w:rsid w:val="00D47CA5"/>
    <w:rsid w:val="00D47F35"/>
    <w:rsid w:val="00D500FF"/>
    <w:rsid w:val="00D51BD4"/>
    <w:rsid w:val="00D53931"/>
    <w:rsid w:val="00D566F6"/>
    <w:rsid w:val="00D61B85"/>
    <w:rsid w:val="00D623F3"/>
    <w:rsid w:val="00D628AC"/>
    <w:rsid w:val="00D62A9A"/>
    <w:rsid w:val="00D65A84"/>
    <w:rsid w:val="00D6674F"/>
    <w:rsid w:val="00D703E2"/>
    <w:rsid w:val="00D7566C"/>
    <w:rsid w:val="00D76C84"/>
    <w:rsid w:val="00D77599"/>
    <w:rsid w:val="00D838B1"/>
    <w:rsid w:val="00D84119"/>
    <w:rsid w:val="00D87E8B"/>
    <w:rsid w:val="00D92C8B"/>
    <w:rsid w:val="00D93F9E"/>
    <w:rsid w:val="00D940C4"/>
    <w:rsid w:val="00D95C9D"/>
    <w:rsid w:val="00D95ED9"/>
    <w:rsid w:val="00D9745F"/>
    <w:rsid w:val="00DA2394"/>
    <w:rsid w:val="00DA30F0"/>
    <w:rsid w:val="00DA58DA"/>
    <w:rsid w:val="00DA5E9D"/>
    <w:rsid w:val="00DA70B7"/>
    <w:rsid w:val="00DB11BC"/>
    <w:rsid w:val="00DB1891"/>
    <w:rsid w:val="00DB2412"/>
    <w:rsid w:val="00DB2F53"/>
    <w:rsid w:val="00DB7EF3"/>
    <w:rsid w:val="00DC0A4A"/>
    <w:rsid w:val="00DC11BB"/>
    <w:rsid w:val="00DC1260"/>
    <w:rsid w:val="00DC2AA7"/>
    <w:rsid w:val="00DC2D8A"/>
    <w:rsid w:val="00DC3127"/>
    <w:rsid w:val="00DC35C6"/>
    <w:rsid w:val="00DC6DD3"/>
    <w:rsid w:val="00DC6F94"/>
    <w:rsid w:val="00DD142E"/>
    <w:rsid w:val="00DD3DFA"/>
    <w:rsid w:val="00DE154A"/>
    <w:rsid w:val="00DE18D8"/>
    <w:rsid w:val="00DE1D5F"/>
    <w:rsid w:val="00DE1F65"/>
    <w:rsid w:val="00DE2BB3"/>
    <w:rsid w:val="00DE4BB0"/>
    <w:rsid w:val="00DE549A"/>
    <w:rsid w:val="00DE5990"/>
    <w:rsid w:val="00DE6877"/>
    <w:rsid w:val="00DE714D"/>
    <w:rsid w:val="00DF14DF"/>
    <w:rsid w:val="00DF3383"/>
    <w:rsid w:val="00DF580A"/>
    <w:rsid w:val="00E00168"/>
    <w:rsid w:val="00E05285"/>
    <w:rsid w:val="00E05332"/>
    <w:rsid w:val="00E0704C"/>
    <w:rsid w:val="00E0792C"/>
    <w:rsid w:val="00E1177D"/>
    <w:rsid w:val="00E11DFB"/>
    <w:rsid w:val="00E13D34"/>
    <w:rsid w:val="00E16294"/>
    <w:rsid w:val="00E2035D"/>
    <w:rsid w:val="00E20C43"/>
    <w:rsid w:val="00E20CD0"/>
    <w:rsid w:val="00E23EB8"/>
    <w:rsid w:val="00E256E6"/>
    <w:rsid w:val="00E2652C"/>
    <w:rsid w:val="00E27A28"/>
    <w:rsid w:val="00E339ED"/>
    <w:rsid w:val="00E3712F"/>
    <w:rsid w:val="00E4254E"/>
    <w:rsid w:val="00E4260D"/>
    <w:rsid w:val="00E4357C"/>
    <w:rsid w:val="00E44463"/>
    <w:rsid w:val="00E45FD3"/>
    <w:rsid w:val="00E5016B"/>
    <w:rsid w:val="00E53D21"/>
    <w:rsid w:val="00E5468C"/>
    <w:rsid w:val="00E55F46"/>
    <w:rsid w:val="00E57240"/>
    <w:rsid w:val="00E57E6D"/>
    <w:rsid w:val="00E6134C"/>
    <w:rsid w:val="00E616EC"/>
    <w:rsid w:val="00E6189B"/>
    <w:rsid w:val="00E63F5F"/>
    <w:rsid w:val="00E70980"/>
    <w:rsid w:val="00E70AA6"/>
    <w:rsid w:val="00E715DF"/>
    <w:rsid w:val="00E72AB7"/>
    <w:rsid w:val="00E72D8A"/>
    <w:rsid w:val="00E749F4"/>
    <w:rsid w:val="00E804C3"/>
    <w:rsid w:val="00E80719"/>
    <w:rsid w:val="00E873A9"/>
    <w:rsid w:val="00E873D5"/>
    <w:rsid w:val="00E87F90"/>
    <w:rsid w:val="00E92F49"/>
    <w:rsid w:val="00E937B0"/>
    <w:rsid w:val="00E956B6"/>
    <w:rsid w:val="00EA2136"/>
    <w:rsid w:val="00EA4499"/>
    <w:rsid w:val="00EA5B74"/>
    <w:rsid w:val="00EA6ED3"/>
    <w:rsid w:val="00EA7F27"/>
    <w:rsid w:val="00EB3F91"/>
    <w:rsid w:val="00EB4AFC"/>
    <w:rsid w:val="00EB5ED8"/>
    <w:rsid w:val="00EC1484"/>
    <w:rsid w:val="00EC3245"/>
    <w:rsid w:val="00ED1226"/>
    <w:rsid w:val="00ED1CE2"/>
    <w:rsid w:val="00ED2FCB"/>
    <w:rsid w:val="00ED79DB"/>
    <w:rsid w:val="00EE5DAC"/>
    <w:rsid w:val="00EE5EE2"/>
    <w:rsid w:val="00EE7155"/>
    <w:rsid w:val="00EF10FF"/>
    <w:rsid w:val="00EF2B91"/>
    <w:rsid w:val="00EF2EC5"/>
    <w:rsid w:val="00EF3973"/>
    <w:rsid w:val="00EF4609"/>
    <w:rsid w:val="00EF4946"/>
    <w:rsid w:val="00EF4AC6"/>
    <w:rsid w:val="00EF58A9"/>
    <w:rsid w:val="00EF58EA"/>
    <w:rsid w:val="00F025CF"/>
    <w:rsid w:val="00F028E3"/>
    <w:rsid w:val="00F02DDD"/>
    <w:rsid w:val="00F03938"/>
    <w:rsid w:val="00F07190"/>
    <w:rsid w:val="00F14ECE"/>
    <w:rsid w:val="00F155B7"/>
    <w:rsid w:val="00F21732"/>
    <w:rsid w:val="00F26F16"/>
    <w:rsid w:val="00F26FC0"/>
    <w:rsid w:val="00F3012D"/>
    <w:rsid w:val="00F30DF6"/>
    <w:rsid w:val="00F32148"/>
    <w:rsid w:val="00F3294A"/>
    <w:rsid w:val="00F336BC"/>
    <w:rsid w:val="00F33B1D"/>
    <w:rsid w:val="00F3554B"/>
    <w:rsid w:val="00F3659C"/>
    <w:rsid w:val="00F40605"/>
    <w:rsid w:val="00F40C0E"/>
    <w:rsid w:val="00F4425C"/>
    <w:rsid w:val="00F448CA"/>
    <w:rsid w:val="00F4494F"/>
    <w:rsid w:val="00F464B2"/>
    <w:rsid w:val="00F50DA2"/>
    <w:rsid w:val="00F50F3D"/>
    <w:rsid w:val="00F51A48"/>
    <w:rsid w:val="00F540E2"/>
    <w:rsid w:val="00F542EF"/>
    <w:rsid w:val="00F5603D"/>
    <w:rsid w:val="00F566FF"/>
    <w:rsid w:val="00F57021"/>
    <w:rsid w:val="00F60AB1"/>
    <w:rsid w:val="00F61307"/>
    <w:rsid w:val="00F620F4"/>
    <w:rsid w:val="00F65F60"/>
    <w:rsid w:val="00F66348"/>
    <w:rsid w:val="00F703FF"/>
    <w:rsid w:val="00F71938"/>
    <w:rsid w:val="00F7215D"/>
    <w:rsid w:val="00F72DCC"/>
    <w:rsid w:val="00F73A8B"/>
    <w:rsid w:val="00F74460"/>
    <w:rsid w:val="00F76DAE"/>
    <w:rsid w:val="00F81B18"/>
    <w:rsid w:val="00F831E7"/>
    <w:rsid w:val="00F85BCF"/>
    <w:rsid w:val="00F86A6C"/>
    <w:rsid w:val="00F92B3F"/>
    <w:rsid w:val="00F9365D"/>
    <w:rsid w:val="00F9387A"/>
    <w:rsid w:val="00F93F9F"/>
    <w:rsid w:val="00F962A4"/>
    <w:rsid w:val="00F97395"/>
    <w:rsid w:val="00FA09B2"/>
    <w:rsid w:val="00FA0C9D"/>
    <w:rsid w:val="00FA2F59"/>
    <w:rsid w:val="00FA3893"/>
    <w:rsid w:val="00FA7C02"/>
    <w:rsid w:val="00FB05B1"/>
    <w:rsid w:val="00FB05F8"/>
    <w:rsid w:val="00FB35E5"/>
    <w:rsid w:val="00FB3614"/>
    <w:rsid w:val="00FC0E07"/>
    <w:rsid w:val="00FC3983"/>
    <w:rsid w:val="00FC3BA9"/>
    <w:rsid w:val="00FC57ED"/>
    <w:rsid w:val="00FC660B"/>
    <w:rsid w:val="00FC7C26"/>
    <w:rsid w:val="00FD069B"/>
    <w:rsid w:val="00FD3B30"/>
    <w:rsid w:val="00FD475D"/>
    <w:rsid w:val="00FD68B7"/>
    <w:rsid w:val="00FD7F65"/>
    <w:rsid w:val="00FE0C42"/>
    <w:rsid w:val="00FE439D"/>
    <w:rsid w:val="00FE4F13"/>
    <w:rsid w:val="00FE5BF7"/>
    <w:rsid w:val="00FE69B5"/>
    <w:rsid w:val="00FE78BB"/>
    <w:rsid w:val="00FE7CF5"/>
    <w:rsid w:val="00FF2380"/>
    <w:rsid w:val="00FF3A06"/>
    <w:rsid w:val="00FF47F2"/>
    <w:rsid w:val="00FF60A6"/>
    <w:rsid w:val="00FF6CAF"/>
    <w:rsid w:val="01032478"/>
    <w:rsid w:val="01044979"/>
    <w:rsid w:val="010C4639"/>
    <w:rsid w:val="0110566B"/>
    <w:rsid w:val="011C65A3"/>
    <w:rsid w:val="011F79D3"/>
    <w:rsid w:val="013B0DA7"/>
    <w:rsid w:val="013C4F81"/>
    <w:rsid w:val="013E61AE"/>
    <w:rsid w:val="013E727A"/>
    <w:rsid w:val="01405E0C"/>
    <w:rsid w:val="01442515"/>
    <w:rsid w:val="01472795"/>
    <w:rsid w:val="015214D5"/>
    <w:rsid w:val="01580424"/>
    <w:rsid w:val="015A4367"/>
    <w:rsid w:val="01684B55"/>
    <w:rsid w:val="016977F8"/>
    <w:rsid w:val="01834677"/>
    <w:rsid w:val="018E296D"/>
    <w:rsid w:val="01A47CA6"/>
    <w:rsid w:val="01A84A74"/>
    <w:rsid w:val="01AA2CF6"/>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3043DC"/>
    <w:rsid w:val="0244348C"/>
    <w:rsid w:val="02453453"/>
    <w:rsid w:val="024B2687"/>
    <w:rsid w:val="027139FA"/>
    <w:rsid w:val="02753DA8"/>
    <w:rsid w:val="027C7DDC"/>
    <w:rsid w:val="027D785F"/>
    <w:rsid w:val="02816AF1"/>
    <w:rsid w:val="02875A0D"/>
    <w:rsid w:val="028C02F3"/>
    <w:rsid w:val="028F487E"/>
    <w:rsid w:val="029427C4"/>
    <w:rsid w:val="02A3168B"/>
    <w:rsid w:val="02BA0F09"/>
    <w:rsid w:val="02BD394E"/>
    <w:rsid w:val="02BF2396"/>
    <w:rsid w:val="02D37D86"/>
    <w:rsid w:val="02DA2E8D"/>
    <w:rsid w:val="02DB761A"/>
    <w:rsid w:val="02DD4D3A"/>
    <w:rsid w:val="02DE3636"/>
    <w:rsid w:val="02DF690F"/>
    <w:rsid w:val="02E22754"/>
    <w:rsid w:val="02E37DBD"/>
    <w:rsid w:val="02E54168"/>
    <w:rsid w:val="02EC68CC"/>
    <w:rsid w:val="02F65A44"/>
    <w:rsid w:val="02FC1503"/>
    <w:rsid w:val="02FF0139"/>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E6C2B"/>
    <w:rsid w:val="03910ED1"/>
    <w:rsid w:val="0395076F"/>
    <w:rsid w:val="039B5B4B"/>
    <w:rsid w:val="039D5723"/>
    <w:rsid w:val="03A078FF"/>
    <w:rsid w:val="03A83ED6"/>
    <w:rsid w:val="03AA637C"/>
    <w:rsid w:val="03D05D6F"/>
    <w:rsid w:val="03DE246A"/>
    <w:rsid w:val="03E2065B"/>
    <w:rsid w:val="03ED0495"/>
    <w:rsid w:val="03F0528E"/>
    <w:rsid w:val="03F477FF"/>
    <w:rsid w:val="03FF2F0A"/>
    <w:rsid w:val="04093506"/>
    <w:rsid w:val="040E2962"/>
    <w:rsid w:val="040F2D02"/>
    <w:rsid w:val="04144254"/>
    <w:rsid w:val="04180F45"/>
    <w:rsid w:val="041C50D7"/>
    <w:rsid w:val="042604A5"/>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D11398"/>
    <w:rsid w:val="04D15F03"/>
    <w:rsid w:val="04D9334D"/>
    <w:rsid w:val="04DB78A6"/>
    <w:rsid w:val="04E91532"/>
    <w:rsid w:val="04EA7929"/>
    <w:rsid w:val="04EB79E0"/>
    <w:rsid w:val="04FB2841"/>
    <w:rsid w:val="05086534"/>
    <w:rsid w:val="05092B74"/>
    <w:rsid w:val="050A0BAF"/>
    <w:rsid w:val="050B1F38"/>
    <w:rsid w:val="050C35E2"/>
    <w:rsid w:val="05100DF9"/>
    <w:rsid w:val="05131F6A"/>
    <w:rsid w:val="05135923"/>
    <w:rsid w:val="051B7D51"/>
    <w:rsid w:val="051C280B"/>
    <w:rsid w:val="051D3676"/>
    <w:rsid w:val="051F3956"/>
    <w:rsid w:val="05286B5C"/>
    <w:rsid w:val="0533265D"/>
    <w:rsid w:val="053B21E5"/>
    <w:rsid w:val="055F6482"/>
    <w:rsid w:val="056C2191"/>
    <w:rsid w:val="05717EE3"/>
    <w:rsid w:val="057260D6"/>
    <w:rsid w:val="057E4EC1"/>
    <w:rsid w:val="058E1FF0"/>
    <w:rsid w:val="05984546"/>
    <w:rsid w:val="05AB0F55"/>
    <w:rsid w:val="05C0309F"/>
    <w:rsid w:val="05C44F5B"/>
    <w:rsid w:val="05CF7C0B"/>
    <w:rsid w:val="05D7052B"/>
    <w:rsid w:val="05D80009"/>
    <w:rsid w:val="05E142A1"/>
    <w:rsid w:val="05E36750"/>
    <w:rsid w:val="05EA1BBD"/>
    <w:rsid w:val="05EB694D"/>
    <w:rsid w:val="05F26D97"/>
    <w:rsid w:val="05FC4774"/>
    <w:rsid w:val="06047743"/>
    <w:rsid w:val="06254AFE"/>
    <w:rsid w:val="062F23EA"/>
    <w:rsid w:val="063A1D35"/>
    <w:rsid w:val="063B575A"/>
    <w:rsid w:val="064028F5"/>
    <w:rsid w:val="064149A2"/>
    <w:rsid w:val="06472B41"/>
    <w:rsid w:val="0649518E"/>
    <w:rsid w:val="066E4634"/>
    <w:rsid w:val="067255DD"/>
    <w:rsid w:val="06737D48"/>
    <w:rsid w:val="067F50FC"/>
    <w:rsid w:val="068343EF"/>
    <w:rsid w:val="069E401D"/>
    <w:rsid w:val="06AD0FE0"/>
    <w:rsid w:val="06AF5439"/>
    <w:rsid w:val="06B70D14"/>
    <w:rsid w:val="06B8183B"/>
    <w:rsid w:val="06CF4843"/>
    <w:rsid w:val="06D07CD9"/>
    <w:rsid w:val="06D150B0"/>
    <w:rsid w:val="06D57640"/>
    <w:rsid w:val="06D75688"/>
    <w:rsid w:val="06D85F43"/>
    <w:rsid w:val="06D93A26"/>
    <w:rsid w:val="06E02CF7"/>
    <w:rsid w:val="06E1567A"/>
    <w:rsid w:val="06EF4F85"/>
    <w:rsid w:val="06F26C76"/>
    <w:rsid w:val="06FC32DC"/>
    <w:rsid w:val="070E5BBB"/>
    <w:rsid w:val="07102EA3"/>
    <w:rsid w:val="07155393"/>
    <w:rsid w:val="072C2BD2"/>
    <w:rsid w:val="072D235A"/>
    <w:rsid w:val="072F1B8C"/>
    <w:rsid w:val="07466137"/>
    <w:rsid w:val="074B2DBA"/>
    <w:rsid w:val="07624693"/>
    <w:rsid w:val="07677842"/>
    <w:rsid w:val="07684336"/>
    <w:rsid w:val="07690751"/>
    <w:rsid w:val="07696311"/>
    <w:rsid w:val="077602C5"/>
    <w:rsid w:val="077E791D"/>
    <w:rsid w:val="07875964"/>
    <w:rsid w:val="078768AA"/>
    <w:rsid w:val="07967C84"/>
    <w:rsid w:val="079E3120"/>
    <w:rsid w:val="07A06B5F"/>
    <w:rsid w:val="07AF393F"/>
    <w:rsid w:val="07B46512"/>
    <w:rsid w:val="07BF3BC0"/>
    <w:rsid w:val="07C353F3"/>
    <w:rsid w:val="07D226D6"/>
    <w:rsid w:val="07D8335B"/>
    <w:rsid w:val="07E20E26"/>
    <w:rsid w:val="07F66553"/>
    <w:rsid w:val="07FA7E5D"/>
    <w:rsid w:val="07FD24F6"/>
    <w:rsid w:val="080F41F2"/>
    <w:rsid w:val="081319AB"/>
    <w:rsid w:val="08177AAE"/>
    <w:rsid w:val="081C4008"/>
    <w:rsid w:val="08202EA2"/>
    <w:rsid w:val="083028BF"/>
    <w:rsid w:val="083429AF"/>
    <w:rsid w:val="08375CE4"/>
    <w:rsid w:val="083F007C"/>
    <w:rsid w:val="08542E2F"/>
    <w:rsid w:val="08601FE5"/>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8631D2"/>
    <w:rsid w:val="09876635"/>
    <w:rsid w:val="09951AA0"/>
    <w:rsid w:val="09AC46F3"/>
    <w:rsid w:val="09B11A7C"/>
    <w:rsid w:val="09B16F75"/>
    <w:rsid w:val="09B26803"/>
    <w:rsid w:val="09C3373A"/>
    <w:rsid w:val="09DD4B98"/>
    <w:rsid w:val="09E66F88"/>
    <w:rsid w:val="09E90183"/>
    <w:rsid w:val="09EE5DB5"/>
    <w:rsid w:val="09EE7D20"/>
    <w:rsid w:val="09F32454"/>
    <w:rsid w:val="09F478DA"/>
    <w:rsid w:val="09FD33AE"/>
    <w:rsid w:val="0A191D16"/>
    <w:rsid w:val="0A257E0A"/>
    <w:rsid w:val="0A272FE5"/>
    <w:rsid w:val="0A2D05E9"/>
    <w:rsid w:val="0A313747"/>
    <w:rsid w:val="0A411409"/>
    <w:rsid w:val="0A435C65"/>
    <w:rsid w:val="0A4422E2"/>
    <w:rsid w:val="0A4725CE"/>
    <w:rsid w:val="0A4F3263"/>
    <w:rsid w:val="0A7438DD"/>
    <w:rsid w:val="0A8909F2"/>
    <w:rsid w:val="0A8C5A85"/>
    <w:rsid w:val="0A8D65CE"/>
    <w:rsid w:val="0A8E3D37"/>
    <w:rsid w:val="0A9139A7"/>
    <w:rsid w:val="0A9A09F8"/>
    <w:rsid w:val="0A9F695B"/>
    <w:rsid w:val="0AA90253"/>
    <w:rsid w:val="0AB311A6"/>
    <w:rsid w:val="0AB5443C"/>
    <w:rsid w:val="0AB56449"/>
    <w:rsid w:val="0ABB3A66"/>
    <w:rsid w:val="0AC43C30"/>
    <w:rsid w:val="0ACB6C41"/>
    <w:rsid w:val="0AE81BA6"/>
    <w:rsid w:val="0AF538AD"/>
    <w:rsid w:val="0AFF59C3"/>
    <w:rsid w:val="0B027850"/>
    <w:rsid w:val="0B134236"/>
    <w:rsid w:val="0B2071A3"/>
    <w:rsid w:val="0B26089D"/>
    <w:rsid w:val="0B270C61"/>
    <w:rsid w:val="0B284192"/>
    <w:rsid w:val="0B2918E4"/>
    <w:rsid w:val="0B312C63"/>
    <w:rsid w:val="0B4C2704"/>
    <w:rsid w:val="0B5A27A1"/>
    <w:rsid w:val="0B63610A"/>
    <w:rsid w:val="0B656343"/>
    <w:rsid w:val="0B664512"/>
    <w:rsid w:val="0B7251D2"/>
    <w:rsid w:val="0B736657"/>
    <w:rsid w:val="0B7932D7"/>
    <w:rsid w:val="0B7C1EA9"/>
    <w:rsid w:val="0B7E4DD9"/>
    <w:rsid w:val="0B7E5616"/>
    <w:rsid w:val="0B7E7CF4"/>
    <w:rsid w:val="0B9415A7"/>
    <w:rsid w:val="0BA26A04"/>
    <w:rsid w:val="0BAC1289"/>
    <w:rsid w:val="0BAC4700"/>
    <w:rsid w:val="0BBF42D8"/>
    <w:rsid w:val="0BCA2347"/>
    <w:rsid w:val="0BCF04E4"/>
    <w:rsid w:val="0BD04740"/>
    <w:rsid w:val="0BE35411"/>
    <w:rsid w:val="0BE56D4D"/>
    <w:rsid w:val="0BE61470"/>
    <w:rsid w:val="0BF80432"/>
    <w:rsid w:val="0C0F11B9"/>
    <w:rsid w:val="0C1045B7"/>
    <w:rsid w:val="0C156680"/>
    <w:rsid w:val="0C1E4886"/>
    <w:rsid w:val="0C2767E1"/>
    <w:rsid w:val="0C2E1287"/>
    <w:rsid w:val="0C39036D"/>
    <w:rsid w:val="0C4A3DB3"/>
    <w:rsid w:val="0C5679A6"/>
    <w:rsid w:val="0C571A1A"/>
    <w:rsid w:val="0C666CBA"/>
    <w:rsid w:val="0C7232AD"/>
    <w:rsid w:val="0C80190B"/>
    <w:rsid w:val="0C807C2C"/>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442BC"/>
    <w:rsid w:val="0D720878"/>
    <w:rsid w:val="0D752640"/>
    <w:rsid w:val="0D8B458E"/>
    <w:rsid w:val="0DA401BF"/>
    <w:rsid w:val="0DAB14AD"/>
    <w:rsid w:val="0DAB58C7"/>
    <w:rsid w:val="0DC36124"/>
    <w:rsid w:val="0DD03989"/>
    <w:rsid w:val="0DD7032C"/>
    <w:rsid w:val="0DD76A82"/>
    <w:rsid w:val="0DD953A9"/>
    <w:rsid w:val="0DDC1687"/>
    <w:rsid w:val="0DE85244"/>
    <w:rsid w:val="0DE91AA9"/>
    <w:rsid w:val="0DEB4947"/>
    <w:rsid w:val="0DF4425C"/>
    <w:rsid w:val="0E02268D"/>
    <w:rsid w:val="0E034C75"/>
    <w:rsid w:val="0E0A703B"/>
    <w:rsid w:val="0E194B58"/>
    <w:rsid w:val="0E250AE6"/>
    <w:rsid w:val="0E276010"/>
    <w:rsid w:val="0E2E3B50"/>
    <w:rsid w:val="0E324491"/>
    <w:rsid w:val="0E455929"/>
    <w:rsid w:val="0E462930"/>
    <w:rsid w:val="0E475E10"/>
    <w:rsid w:val="0E5B1AB7"/>
    <w:rsid w:val="0E64576F"/>
    <w:rsid w:val="0E671B4E"/>
    <w:rsid w:val="0E6A4870"/>
    <w:rsid w:val="0E6C7739"/>
    <w:rsid w:val="0E6D2468"/>
    <w:rsid w:val="0E731DC8"/>
    <w:rsid w:val="0E7846DC"/>
    <w:rsid w:val="0E797520"/>
    <w:rsid w:val="0E824B10"/>
    <w:rsid w:val="0E851EB4"/>
    <w:rsid w:val="0E894B41"/>
    <w:rsid w:val="0E8B0088"/>
    <w:rsid w:val="0E9767C4"/>
    <w:rsid w:val="0E9E2B4A"/>
    <w:rsid w:val="0EA07FBA"/>
    <w:rsid w:val="0EA13C48"/>
    <w:rsid w:val="0EA54992"/>
    <w:rsid w:val="0EA9626F"/>
    <w:rsid w:val="0EB24AE8"/>
    <w:rsid w:val="0EB97C39"/>
    <w:rsid w:val="0EC71B35"/>
    <w:rsid w:val="0ED73594"/>
    <w:rsid w:val="0EDB0A52"/>
    <w:rsid w:val="0EDD39F0"/>
    <w:rsid w:val="0EDF3330"/>
    <w:rsid w:val="0EEB325E"/>
    <w:rsid w:val="0EF467DA"/>
    <w:rsid w:val="0EFE6664"/>
    <w:rsid w:val="0F016F02"/>
    <w:rsid w:val="0F065910"/>
    <w:rsid w:val="0F117468"/>
    <w:rsid w:val="0F1E1970"/>
    <w:rsid w:val="0F1E3774"/>
    <w:rsid w:val="0F245A0B"/>
    <w:rsid w:val="0F2A53EC"/>
    <w:rsid w:val="0F2C2F95"/>
    <w:rsid w:val="0F3F0BE3"/>
    <w:rsid w:val="0F4F4CB7"/>
    <w:rsid w:val="0F5B362B"/>
    <w:rsid w:val="0F5E06C0"/>
    <w:rsid w:val="0F803675"/>
    <w:rsid w:val="0F8F2D34"/>
    <w:rsid w:val="0F9855DF"/>
    <w:rsid w:val="0F9E0235"/>
    <w:rsid w:val="0FA05E04"/>
    <w:rsid w:val="0FA221B1"/>
    <w:rsid w:val="0FA26822"/>
    <w:rsid w:val="0FAC3DC7"/>
    <w:rsid w:val="0FB9471D"/>
    <w:rsid w:val="0FBA58AB"/>
    <w:rsid w:val="0FC47F8D"/>
    <w:rsid w:val="0FD8442E"/>
    <w:rsid w:val="0FE71B19"/>
    <w:rsid w:val="0FEF2030"/>
    <w:rsid w:val="0FFE13FD"/>
    <w:rsid w:val="10086FA5"/>
    <w:rsid w:val="100B4C41"/>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34C2D"/>
    <w:rsid w:val="10840B9C"/>
    <w:rsid w:val="10B64DEF"/>
    <w:rsid w:val="10C1392E"/>
    <w:rsid w:val="10D33836"/>
    <w:rsid w:val="10D872C0"/>
    <w:rsid w:val="10DB7DD5"/>
    <w:rsid w:val="10E75BD5"/>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84168B"/>
    <w:rsid w:val="118956AB"/>
    <w:rsid w:val="1198547F"/>
    <w:rsid w:val="119B5106"/>
    <w:rsid w:val="119C4C3A"/>
    <w:rsid w:val="11A5400E"/>
    <w:rsid w:val="11B70551"/>
    <w:rsid w:val="11D57C36"/>
    <w:rsid w:val="11D64577"/>
    <w:rsid w:val="11E01A7B"/>
    <w:rsid w:val="11E6727D"/>
    <w:rsid w:val="11EB34D6"/>
    <w:rsid w:val="11FB7995"/>
    <w:rsid w:val="11FF376C"/>
    <w:rsid w:val="120413C8"/>
    <w:rsid w:val="12140CB2"/>
    <w:rsid w:val="12142E6B"/>
    <w:rsid w:val="122D6B72"/>
    <w:rsid w:val="123A3799"/>
    <w:rsid w:val="124B6443"/>
    <w:rsid w:val="125239BE"/>
    <w:rsid w:val="12623D4E"/>
    <w:rsid w:val="12646BB7"/>
    <w:rsid w:val="127F2DC5"/>
    <w:rsid w:val="1285685C"/>
    <w:rsid w:val="128739F0"/>
    <w:rsid w:val="128C77D8"/>
    <w:rsid w:val="12B154E1"/>
    <w:rsid w:val="12B43F64"/>
    <w:rsid w:val="12BC2E83"/>
    <w:rsid w:val="12C50A92"/>
    <w:rsid w:val="12C779CB"/>
    <w:rsid w:val="12CA6F00"/>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805828"/>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4710B"/>
    <w:rsid w:val="1498438C"/>
    <w:rsid w:val="149E3B4A"/>
    <w:rsid w:val="14A93A1B"/>
    <w:rsid w:val="14AB2BA9"/>
    <w:rsid w:val="14AE068A"/>
    <w:rsid w:val="14B45717"/>
    <w:rsid w:val="14CA7B1F"/>
    <w:rsid w:val="14DB3EE4"/>
    <w:rsid w:val="14E46E4B"/>
    <w:rsid w:val="14E52087"/>
    <w:rsid w:val="14FF13FB"/>
    <w:rsid w:val="14FF719B"/>
    <w:rsid w:val="15064E00"/>
    <w:rsid w:val="150C5439"/>
    <w:rsid w:val="151434A6"/>
    <w:rsid w:val="15163C96"/>
    <w:rsid w:val="151701EC"/>
    <w:rsid w:val="153B094C"/>
    <w:rsid w:val="154C25E1"/>
    <w:rsid w:val="15564D28"/>
    <w:rsid w:val="155F6E73"/>
    <w:rsid w:val="15606315"/>
    <w:rsid w:val="156E1539"/>
    <w:rsid w:val="156F61A2"/>
    <w:rsid w:val="15741E18"/>
    <w:rsid w:val="158108BD"/>
    <w:rsid w:val="15841EB5"/>
    <w:rsid w:val="159B2A7F"/>
    <w:rsid w:val="15AC0E85"/>
    <w:rsid w:val="15B24CEA"/>
    <w:rsid w:val="15B70BEF"/>
    <w:rsid w:val="15BE5307"/>
    <w:rsid w:val="15BE697F"/>
    <w:rsid w:val="15C06A9E"/>
    <w:rsid w:val="15C60660"/>
    <w:rsid w:val="15D53186"/>
    <w:rsid w:val="15D916AD"/>
    <w:rsid w:val="15DA100E"/>
    <w:rsid w:val="15F22251"/>
    <w:rsid w:val="15FA2771"/>
    <w:rsid w:val="16050687"/>
    <w:rsid w:val="160C56AD"/>
    <w:rsid w:val="1614659B"/>
    <w:rsid w:val="1619028A"/>
    <w:rsid w:val="162205BB"/>
    <w:rsid w:val="163B2F1D"/>
    <w:rsid w:val="164102A7"/>
    <w:rsid w:val="16416351"/>
    <w:rsid w:val="16416BCB"/>
    <w:rsid w:val="164C7AF7"/>
    <w:rsid w:val="164E1E79"/>
    <w:rsid w:val="165F3F87"/>
    <w:rsid w:val="16634D60"/>
    <w:rsid w:val="167765B8"/>
    <w:rsid w:val="167E73E8"/>
    <w:rsid w:val="1685128C"/>
    <w:rsid w:val="16924457"/>
    <w:rsid w:val="1694528F"/>
    <w:rsid w:val="16A13C5E"/>
    <w:rsid w:val="16B30AF5"/>
    <w:rsid w:val="16BB51CD"/>
    <w:rsid w:val="16C34E04"/>
    <w:rsid w:val="16CA0EFE"/>
    <w:rsid w:val="16CC3333"/>
    <w:rsid w:val="16CF109C"/>
    <w:rsid w:val="16D55CE6"/>
    <w:rsid w:val="16D74F7C"/>
    <w:rsid w:val="16D9722C"/>
    <w:rsid w:val="16DE5068"/>
    <w:rsid w:val="16F16D84"/>
    <w:rsid w:val="16F419E0"/>
    <w:rsid w:val="16F8494B"/>
    <w:rsid w:val="16FB2391"/>
    <w:rsid w:val="16FE657E"/>
    <w:rsid w:val="1700442D"/>
    <w:rsid w:val="17062FA6"/>
    <w:rsid w:val="170813CA"/>
    <w:rsid w:val="171364E9"/>
    <w:rsid w:val="17216E7D"/>
    <w:rsid w:val="17300769"/>
    <w:rsid w:val="17424C96"/>
    <w:rsid w:val="174E44F3"/>
    <w:rsid w:val="17596106"/>
    <w:rsid w:val="175A04A3"/>
    <w:rsid w:val="177841DA"/>
    <w:rsid w:val="178774A7"/>
    <w:rsid w:val="17884786"/>
    <w:rsid w:val="178A043C"/>
    <w:rsid w:val="17962C64"/>
    <w:rsid w:val="179D7821"/>
    <w:rsid w:val="17A002EC"/>
    <w:rsid w:val="17AA3B53"/>
    <w:rsid w:val="17AD0356"/>
    <w:rsid w:val="17B65F0F"/>
    <w:rsid w:val="17B97B48"/>
    <w:rsid w:val="17BC3A70"/>
    <w:rsid w:val="17C70A10"/>
    <w:rsid w:val="17DD2C74"/>
    <w:rsid w:val="17DF3FCF"/>
    <w:rsid w:val="18011278"/>
    <w:rsid w:val="18066E44"/>
    <w:rsid w:val="181C77F9"/>
    <w:rsid w:val="1824381B"/>
    <w:rsid w:val="18276DA7"/>
    <w:rsid w:val="18285DAA"/>
    <w:rsid w:val="182D6C37"/>
    <w:rsid w:val="18345A22"/>
    <w:rsid w:val="184128E5"/>
    <w:rsid w:val="184956CC"/>
    <w:rsid w:val="184D78D8"/>
    <w:rsid w:val="18633004"/>
    <w:rsid w:val="18656135"/>
    <w:rsid w:val="18671D58"/>
    <w:rsid w:val="187A0BAB"/>
    <w:rsid w:val="18801803"/>
    <w:rsid w:val="18831301"/>
    <w:rsid w:val="188953B4"/>
    <w:rsid w:val="189A3841"/>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3B7B02"/>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A20E8"/>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FC1A85"/>
    <w:rsid w:val="1B072DEE"/>
    <w:rsid w:val="1B0D765D"/>
    <w:rsid w:val="1B100D19"/>
    <w:rsid w:val="1B18299D"/>
    <w:rsid w:val="1B3573D7"/>
    <w:rsid w:val="1B383C0D"/>
    <w:rsid w:val="1B3C2469"/>
    <w:rsid w:val="1B3C4D57"/>
    <w:rsid w:val="1B3D060C"/>
    <w:rsid w:val="1B3D6FD8"/>
    <w:rsid w:val="1B4779C2"/>
    <w:rsid w:val="1B644FA1"/>
    <w:rsid w:val="1B6C5A9F"/>
    <w:rsid w:val="1B714293"/>
    <w:rsid w:val="1B850E66"/>
    <w:rsid w:val="1B8A18F9"/>
    <w:rsid w:val="1B8B5D01"/>
    <w:rsid w:val="1B9C1561"/>
    <w:rsid w:val="1B9F3392"/>
    <w:rsid w:val="1BA51326"/>
    <w:rsid w:val="1BAF0FE1"/>
    <w:rsid w:val="1BB9082F"/>
    <w:rsid w:val="1BC24B5B"/>
    <w:rsid w:val="1BCC5EC0"/>
    <w:rsid w:val="1BD807CD"/>
    <w:rsid w:val="1BDD5259"/>
    <w:rsid w:val="1BE4732B"/>
    <w:rsid w:val="1BFD5581"/>
    <w:rsid w:val="1C092C56"/>
    <w:rsid w:val="1C1563A0"/>
    <w:rsid w:val="1C1640AA"/>
    <w:rsid w:val="1C1C4768"/>
    <w:rsid w:val="1C1E665C"/>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37963"/>
    <w:rsid w:val="1C942A8C"/>
    <w:rsid w:val="1C9760FA"/>
    <w:rsid w:val="1C9A1BA8"/>
    <w:rsid w:val="1C9D3A2C"/>
    <w:rsid w:val="1CB11E65"/>
    <w:rsid w:val="1CB967DD"/>
    <w:rsid w:val="1CBF4748"/>
    <w:rsid w:val="1CC7132A"/>
    <w:rsid w:val="1CD40C17"/>
    <w:rsid w:val="1CD86B22"/>
    <w:rsid w:val="1CDE03CB"/>
    <w:rsid w:val="1CDF52BF"/>
    <w:rsid w:val="1CEB3172"/>
    <w:rsid w:val="1CF2501B"/>
    <w:rsid w:val="1CF326BB"/>
    <w:rsid w:val="1CFE23E6"/>
    <w:rsid w:val="1D0032A3"/>
    <w:rsid w:val="1D2155E5"/>
    <w:rsid w:val="1D2302B5"/>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A2119"/>
    <w:rsid w:val="1DE4741F"/>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86DF3"/>
    <w:rsid w:val="1EDD2BC4"/>
    <w:rsid w:val="1EDE627F"/>
    <w:rsid w:val="1EE32FBA"/>
    <w:rsid w:val="1EE43332"/>
    <w:rsid w:val="1EF155D0"/>
    <w:rsid w:val="1EFA607C"/>
    <w:rsid w:val="1EFB3E45"/>
    <w:rsid w:val="1F066866"/>
    <w:rsid w:val="1F0C7056"/>
    <w:rsid w:val="1F0D7DC6"/>
    <w:rsid w:val="1F116DF1"/>
    <w:rsid w:val="1F2E341E"/>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473593"/>
    <w:rsid w:val="20473A48"/>
    <w:rsid w:val="20484444"/>
    <w:rsid w:val="20626B78"/>
    <w:rsid w:val="20631D63"/>
    <w:rsid w:val="2063425F"/>
    <w:rsid w:val="20773FB5"/>
    <w:rsid w:val="207B6128"/>
    <w:rsid w:val="20893B2C"/>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62DF"/>
    <w:rsid w:val="213A3BAB"/>
    <w:rsid w:val="21417169"/>
    <w:rsid w:val="21474A54"/>
    <w:rsid w:val="2155752E"/>
    <w:rsid w:val="215F5A76"/>
    <w:rsid w:val="21616E7A"/>
    <w:rsid w:val="216803D2"/>
    <w:rsid w:val="216E5622"/>
    <w:rsid w:val="217A500C"/>
    <w:rsid w:val="218B1D9D"/>
    <w:rsid w:val="219572D3"/>
    <w:rsid w:val="219B7B8D"/>
    <w:rsid w:val="21AC717A"/>
    <w:rsid w:val="21B0584A"/>
    <w:rsid w:val="21B13B53"/>
    <w:rsid w:val="21B51580"/>
    <w:rsid w:val="21C25EC4"/>
    <w:rsid w:val="21C553E9"/>
    <w:rsid w:val="21CA1AD6"/>
    <w:rsid w:val="21E8008F"/>
    <w:rsid w:val="21F024C3"/>
    <w:rsid w:val="21F95C5A"/>
    <w:rsid w:val="21FE738E"/>
    <w:rsid w:val="22016828"/>
    <w:rsid w:val="221940C4"/>
    <w:rsid w:val="22247078"/>
    <w:rsid w:val="222D7FB8"/>
    <w:rsid w:val="223B21BE"/>
    <w:rsid w:val="223B6F8B"/>
    <w:rsid w:val="22452A01"/>
    <w:rsid w:val="2249189F"/>
    <w:rsid w:val="224D2AD9"/>
    <w:rsid w:val="225021B6"/>
    <w:rsid w:val="225D57E2"/>
    <w:rsid w:val="22634526"/>
    <w:rsid w:val="22735C3F"/>
    <w:rsid w:val="227906B9"/>
    <w:rsid w:val="2280354A"/>
    <w:rsid w:val="22804C0C"/>
    <w:rsid w:val="228220A4"/>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F1E4E"/>
    <w:rsid w:val="232A26FA"/>
    <w:rsid w:val="232F60EE"/>
    <w:rsid w:val="23306CB5"/>
    <w:rsid w:val="233429D3"/>
    <w:rsid w:val="233D0598"/>
    <w:rsid w:val="234C328F"/>
    <w:rsid w:val="23566DDC"/>
    <w:rsid w:val="235F3DCB"/>
    <w:rsid w:val="235F73CE"/>
    <w:rsid w:val="236F216E"/>
    <w:rsid w:val="237B7101"/>
    <w:rsid w:val="237D6A68"/>
    <w:rsid w:val="23892FD7"/>
    <w:rsid w:val="238B3863"/>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62C99"/>
    <w:rsid w:val="24BB08B9"/>
    <w:rsid w:val="24BB369A"/>
    <w:rsid w:val="24C95E80"/>
    <w:rsid w:val="24D35F38"/>
    <w:rsid w:val="24DD6ACF"/>
    <w:rsid w:val="24E33E09"/>
    <w:rsid w:val="24E67E07"/>
    <w:rsid w:val="24F41D83"/>
    <w:rsid w:val="24F457A0"/>
    <w:rsid w:val="24F51C09"/>
    <w:rsid w:val="24FA4FA6"/>
    <w:rsid w:val="250232FC"/>
    <w:rsid w:val="25045F9C"/>
    <w:rsid w:val="25067F6D"/>
    <w:rsid w:val="250A13AD"/>
    <w:rsid w:val="250A1BD4"/>
    <w:rsid w:val="250A5E1F"/>
    <w:rsid w:val="25103C37"/>
    <w:rsid w:val="25123496"/>
    <w:rsid w:val="25131529"/>
    <w:rsid w:val="251E2FF7"/>
    <w:rsid w:val="251F1A68"/>
    <w:rsid w:val="25205808"/>
    <w:rsid w:val="25392176"/>
    <w:rsid w:val="254573DC"/>
    <w:rsid w:val="25467058"/>
    <w:rsid w:val="254A3C7C"/>
    <w:rsid w:val="254D65DE"/>
    <w:rsid w:val="25501D95"/>
    <w:rsid w:val="2554026F"/>
    <w:rsid w:val="25586A5A"/>
    <w:rsid w:val="255B74F0"/>
    <w:rsid w:val="25693B2F"/>
    <w:rsid w:val="257274D9"/>
    <w:rsid w:val="257A03A7"/>
    <w:rsid w:val="25906BE1"/>
    <w:rsid w:val="259C736C"/>
    <w:rsid w:val="259D5A6F"/>
    <w:rsid w:val="259E472C"/>
    <w:rsid w:val="25AD4E94"/>
    <w:rsid w:val="25BB328B"/>
    <w:rsid w:val="25BD2051"/>
    <w:rsid w:val="25D302D3"/>
    <w:rsid w:val="25E626FC"/>
    <w:rsid w:val="25F16B22"/>
    <w:rsid w:val="25FD4703"/>
    <w:rsid w:val="26021056"/>
    <w:rsid w:val="26042F85"/>
    <w:rsid w:val="261910AD"/>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5E17D7"/>
    <w:rsid w:val="276F5A82"/>
    <w:rsid w:val="27716BBB"/>
    <w:rsid w:val="277D509D"/>
    <w:rsid w:val="27813F8A"/>
    <w:rsid w:val="278810F6"/>
    <w:rsid w:val="279437A9"/>
    <w:rsid w:val="27A87B3A"/>
    <w:rsid w:val="27C3478F"/>
    <w:rsid w:val="27CC1E47"/>
    <w:rsid w:val="27CF2F7F"/>
    <w:rsid w:val="27D430C8"/>
    <w:rsid w:val="27D614F9"/>
    <w:rsid w:val="27E343D9"/>
    <w:rsid w:val="27EF0316"/>
    <w:rsid w:val="28090F5A"/>
    <w:rsid w:val="28121259"/>
    <w:rsid w:val="28236262"/>
    <w:rsid w:val="282C5BEE"/>
    <w:rsid w:val="28300BDB"/>
    <w:rsid w:val="28321054"/>
    <w:rsid w:val="2839385E"/>
    <w:rsid w:val="28480408"/>
    <w:rsid w:val="2852608B"/>
    <w:rsid w:val="285A2D8B"/>
    <w:rsid w:val="285C76C2"/>
    <w:rsid w:val="28642732"/>
    <w:rsid w:val="28690079"/>
    <w:rsid w:val="28807F93"/>
    <w:rsid w:val="28880425"/>
    <w:rsid w:val="28885E14"/>
    <w:rsid w:val="28921C7E"/>
    <w:rsid w:val="28970ECE"/>
    <w:rsid w:val="289D3C8D"/>
    <w:rsid w:val="28A37DF3"/>
    <w:rsid w:val="28A91C64"/>
    <w:rsid w:val="28AA2846"/>
    <w:rsid w:val="28B7419B"/>
    <w:rsid w:val="28BC7349"/>
    <w:rsid w:val="28DB4665"/>
    <w:rsid w:val="28F6079A"/>
    <w:rsid w:val="28FB2C85"/>
    <w:rsid w:val="28FC1B41"/>
    <w:rsid w:val="28FE02A2"/>
    <w:rsid w:val="29012336"/>
    <w:rsid w:val="2906226C"/>
    <w:rsid w:val="290E08EA"/>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31926"/>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31955"/>
    <w:rsid w:val="29E41AD2"/>
    <w:rsid w:val="29E820E3"/>
    <w:rsid w:val="29F12BBE"/>
    <w:rsid w:val="29F8597F"/>
    <w:rsid w:val="2A112018"/>
    <w:rsid w:val="2A185F78"/>
    <w:rsid w:val="2A257857"/>
    <w:rsid w:val="2A2A12F8"/>
    <w:rsid w:val="2A2B2B4C"/>
    <w:rsid w:val="2A3C3CC5"/>
    <w:rsid w:val="2A45568D"/>
    <w:rsid w:val="2A4939A0"/>
    <w:rsid w:val="2A5F3919"/>
    <w:rsid w:val="2A643162"/>
    <w:rsid w:val="2A667898"/>
    <w:rsid w:val="2A685EBB"/>
    <w:rsid w:val="2A6D4B0F"/>
    <w:rsid w:val="2A7334E0"/>
    <w:rsid w:val="2A736F49"/>
    <w:rsid w:val="2A7D510C"/>
    <w:rsid w:val="2A822174"/>
    <w:rsid w:val="2A8E5E53"/>
    <w:rsid w:val="2A94256A"/>
    <w:rsid w:val="2A9E6163"/>
    <w:rsid w:val="2AB749A5"/>
    <w:rsid w:val="2AD31E96"/>
    <w:rsid w:val="2AD66766"/>
    <w:rsid w:val="2AD84A43"/>
    <w:rsid w:val="2AD870E3"/>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92AF7"/>
    <w:rsid w:val="2D35543D"/>
    <w:rsid w:val="2D357B7C"/>
    <w:rsid w:val="2D470641"/>
    <w:rsid w:val="2D5856AA"/>
    <w:rsid w:val="2D5A404A"/>
    <w:rsid w:val="2D744D37"/>
    <w:rsid w:val="2D84178D"/>
    <w:rsid w:val="2D887FF9"/>
    <w:rsid w:val="2D8A21D7"/>
    <w:rsid w:val="2D8F4040"/>
    <w:rsid w:val="2DA12015"/>
    <w:rsid w:val="2DBE067B"/>
    <w:rsid w:val="2DC71907"/>
    <w:rsid w:val="2DDB756D"/>
    <w:rsid w:val="2DE660FD"/>
    <w:rsid w:val="2DE7384E"/>
    <w:rsid w:val="2DE93CFB"/>
    <w:rsid w:val="2DEA0732"/>
    <w:rsid w:val="2DEC21A0"/>
    <w:rsid w:val="2DEE08CC"/>
    <w:rsid w:val="2DF91985"/>
    <w:rsid w:val="2E0231E3"/>
    <w:rsid w:val="2E0E6EE6"/>
    <w:rsid w:val="2E142E18"/>
    <w:rsid w:val="2E1B0192"/>
    <w:rsid w:val="2E2A2FD2"/>
    <w:rsid w:val="2E2E55BF"/>
    <w:rsid w:val="2E2F6D2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987FB9"/>
    <w:rsid w:val="2E9F5139"/>
    <w:rsid w:val="2EA33849"/>
    <w:rsid w:val="2EA41A7A"/>
    <w:rsid w:val="2EA54C3C"/>
    <w:rsid w:val="2EA640B5"/>
    <w:rsid w:val="2EAD50D3"/>
    <w:rsid w:val="2EB02600"/>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3E36CD"/>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A611B"/>
    <w:rsid w:val="2FE0142E"/>
    <w:rsid w:val="2FE54374"/>
    <w:rsid w:val="2FEB0346"/>
    <w:rsid w:val="2FF336B5"/>
    <w:rsid w:val="30061025"/>
    <w:rsid w:val="30150FF6"/>
    <w:rsid w:val="30191EBD"/>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C20E65"/>
    <w:rsid w:val="30E3081F"/>
    <w:rsid w:val="30F777EC"/>
    <w:rsid w:val="30F94587"/>
    <w:rsid w:val="312548D6"/>
    <w:rsid w:val="31390E12"/>
    <w:rsid w:val="31453092"/>
    <w:rsid w:val="31472E72"/>
    <w:rsid w:val="31477EC0"/>
    <w:rsid w:val="31551934"/>
    <w:rsid w:val="31583277"/>
    <w:rsid w:val="315E58BF"/>
    <w:rsid w:val="31600CA5"/>
    <w:rsid w:val="31622CCC"/>
    <w:rsid w:val="316D5CE1"/>
    <w:rsid w:val="317121BB"/>
    <w:rsid w:val="31751B0F"/>
    <w:rsid w:val="31777839"/>
    <w:rsid w:val="317E50AC"/>
    <w:rsid w:val="31825895"/>
    <w:rsid w:val="318B3768"/>
    <w:rsid w:val="319B7DA4"/>
    <w:rsid w:val="31A063F5"/>
    <w:rsid w:val="31A23BB9"/>
    <w:rsid w:val="31A335D9"/>
    <w:rsid w:val="31A343D3"/>
    <w:rsid w:val="31AF330A"/>
    <w:rsid w:val="31E51304"/>
    <w:rsid w:val="31E52F71"/>
    <w:rsid w:val="31E57099"/>
    <w:rsid w:val="31E63AB9"/>
    <w:rsid w:val="31EA0E60"/>
    <w:rsid w:val="31EB7A5B"/>
    <w:rsid w:val="31EF1388"/>
    <w:rsid w:val="32004C6A"/>
    <w:rsid w:val="320E2E30"/>
    <w:rsid w:val="32133B48"/>
    <w:rsid w:val="32296A23"/>
    <w:rsid w:val="32395F5E"/>
    <w:rsid w:val="323C7A8E"/>
    <w:rsid w:val="324C791B"/>
    <w:rsid w:val="325B4746"/>
    <w:rsid w:val="326E4351"/>
    <w:rsid w:val="3274149D"/>
    <w:rsid w:val="32754525"/>
    <w:rsid w:val="327C0AE2"/>
    <w:rsid w:val="329655A6"/>
    <w:rsid w:val="32A12E41"/>
    <w:rsid w:val="32A82270"/>
    <w:rsid w:val="32A82A9E"/>
    <w:rsid w:val="32C93F4E"/>
    <w:rsid w:val="32D33102"/>
    <w:rsid w:val="32D332CE"/>
    <w:rsid w:val="32E60818"/>
    <w:rsid w:val="32FA0DF8"/>
    <w:rsid w:val="32FB12D2"/>
    <w:rsid w:val="33067A08"/>
    <w:rsid w:val="3316169C"/>
    <w:rsid w:val="3316511D"/>
    <w:rsid w:val="331A4FEC"/>
    <w:rsid w:val="331F6285"/>
    <w:rsid w:val="332B0CD8"/>
    <w:rsid w:val="332C4894"/>
    <w:rsid w:val="3333424C"/>
    <w:rsid w:val="33434744"/>
    <w:rsid w:val="33566F90"/>
    <w:rsid w:val="33586A54"/>
    <w:rsid w:val="335D3031"/>
    <w:rsid w:val="336B063A"/>
    <w:rsid w:val="33795D4F"/>
    <w:rsid w:val="3389489E"/>
    <w:rsid w:val="338A618E"/>
    <w:rsid w:val="33971302"/>
    <w:rsid w:val="339A37B6"/>
    <w:rsid w:val="339C1482"/>
    <w:rsid w:val="339E71A8"/>
    <w:rsid w:val="33A151BB"/>
    <w:rsid w:val="33B15FF9"/>
    <w:rsid w:val="33BD4B8E"/>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5B1C51"/>
    <w:rsid w:val="348E6F47"/>
    <w:rsid w:val="34A315BE"/>
    <w:rsid w:val="34B45B8A"/>
    <w:rsid w:val="34BE6177"/>
    <w:rsid w:val="34C0431B"/>
    <w:rsid w:val="34C11D20"/>
    <w:rsid w:val="34ED50D2"/>
    <w:rsid w:val="34EF189A"/>
    <w:rsid w:val="34F208EA"/>
    <w:rsid w:val="34FD4435"/>
    <w:rsid w:val="35024A93"/>
    <w:rsid w:val="350B0749"/>
    <w:rsid w:val="351468B3"/>
    <w:rsid w:val="3516441D"/>
    <w:rsid w:val="351B4CAF"/>
    <w:rsid w:val="351D0B70"/>
    <w:rsid w:val="35404FE2"/>
    <w:rsid w:val="35422F12"/>
    <w:rsid w:val="354370EE"/>
    <w:rsid w:val="354746ED"/>
    <w:rsid w:val="3574368C"/>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A256C"/>
    <w:rsid w:val="360A6C3C"/>
    <w:rsid w:val="36183741"/>
    <w:rsid w:val="362A754F"/>
    <w:rsid w:val="362E4C5E"/>
    <w:rsid w:val="3647329E"/>
    <w:rsid w:val="365322E1"/>
    <w:rsid w:val="366A79AD"/>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93443"/>
    <w:rsid w:val="36FB035D"/>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E6966"/>
    <w:rsid w:val="37E25B4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25131"/>
    <w:rsid w:val="388313D1"/>
    <w:rsid w:val="388E12B7"/>
    <w:rsid w:val="38AD6F05"/>
    <w:rsid w:val="38B400A9"/>
    <w:rsid w:val="38BB72CA"/>
    <w:rsid w:val="38C7509D"/>
    <w:rsid w:val="38E95D99"/>
    <w:rsid w:val="38F067E6"/>
    <w:rsid w:val="38FE48A1"/>
    <w:rsid w:val="39097C7C"/>
    <w:rsid w:val="390A242A"/>
    <w:rsid w:val="391303F3"/>
    <w:rsid w:val="391B63C0"/>
    <w:rsid w:val="391D5968"/>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B5587"/>
    <w:rsid w:val="39A3649D"/>
    <w:rsid w:val="39A64190"/>
    <w:rsid w:val="39AA419C"/>
    <w:rsid w:val="39B87D9C"/>
    <w:rsid w:val="39B929BD"/>
    <w:rsid w:val="39C33858"/>
    <w:rsid w:val="39CD3D03"/>
    <w:rsid w:val="39CF643A"/>
    <w:rsid w:val="39DA0F22"/>
    <w:rsid w:val="39DA38C8"/>
    <w:rsid w:val="39DC647F"/>
    <w:rsid w:val="39DE25D8"/>
    <w:rsid w:val="39E0349C"/>
    <w:rsid w:val="39E536B1"/>
    <w:rsid w:val="39E839B6"/>
    <w:rsid w:val="39E941E0"/>
    <w:rsid w:val="39EB77ED"/>
    <w:rsid w:val="39ED4091"/>
    <w:rsid w:val="3A023B19"/>
    <w:rsid w:val="3A1A7DC6"/>
    <w:rsid w:val="3A1F2BAB"/>
    <w:rsid w:val="3A287D52"/>
    <w:rsid w:val="3A32505F"/>
    <w:rsid w:val="3A3719CA"/>
    <w:rsid w:val="3A400797"/>
    <w:rsid w:val="3A4D6628"/>
    <w:rsid w:val="3A5C25E6"/>
    <w:rsid w:val="3A5F2705"/>
    <w:rsid w:val="3A704C82"/>
    <w:rsid w:val="3A7E325C"/>
    <w:rsid w:val="3A8075D7"/>
    <w:rsid w:val="3A82210D"/>
    <w:rsid w:val="3A826B4D"/>
    <w:rsid w:val="3A875A60"/>
    <w:rsid w:val="3A8937C3"/>
    <w:rsid w:val="3AA94648"/>
    <w:rsid w:val="3AB846E7"/>
    <w:rsid w:val="3AC11FA4"/>
    <w:rsid w:val="3AC50DB3"/>
    <w:rsid w:val="3AD30BFA"/>
    <w:rsid w:val="3AD326A8"/>
    <w:rsid w:val="3AD41B9A"/>
    <w:rsid w:val="3AE10AF6"/>
    <w:rsid w:val="3AEA6E12"/>
    <w:rsid w:val="3AED2291"/>
    <w:rsid w:val="3AF53723"/>
    <w:rsid w:val="3B047F4A"/>
    <w:rsid w:val="3B0B2F34"/>
    <w:rsid w:val="3B0F01B6"/>
    <w:rsid w:val="3B240783"/>
    <w:rsid w:val="3B267ECF"/>
    <w:rsid w:val="3B343A08"/>
    <w:rsid w:val="3B3F1094"/>
    <w:rsid w:val="3B5542A9"/>
    <w:rsid w:val="3B5C1327"/>
    <w:rsid w:val="3B7B3DFF"/>
    <w:rsid w:val="3B875978"/>
    <w:rsid w:val="3B963E0A"/>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223C21"/>
    <w:rsid w:val="3C253C8F"/>
    <w:rsid w:val="3C262F6F"/>
    <w:rsid w:val="3C2914B1"/>
    <w:rsid w:val="3C3265AD"/>
    <w:rsid w:val="3C377565"/>
    <w:rsid w:val="3C513009"/>
    <w:rsid w:val="3C613C13"/>
    <w:rsid w:val="3C621827"/>
    <w:rsid w:val="3C80528A"/>
    <w:rsid w:val="3C816BF1"/>
    <w:rsid w:val="3C8C106A"/>
    <w:rsid w:val="3C921ED3"/>
    <w:rsid w:val="3CB92586"/>
    <w:rsid w:val="3CBC17DD"/>
    <w:rsid w:val="3CC068DC"/>
    <w:rsid w:val="3CC22760"/>
    <w:rsid w:val="3CC62AD3"/>
    <w:rsid w:val="3CCA428F"/>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D4E70"/>
    <w:rsid w:val="3D8322C9"/>
    <w:rsid w:val="3D9363A2"/>
    <w:rsid w:val="3DBF0717"/>
    <w:rsid w:val="3DC26F2E"/>
    <w:rsid w:val="3DC42DFC"/>
    <w:rsid w:val="3DC52959"/>
    <w:rsid w:val="3DC80C08"/>
    <w:rsid w:val="3DDE114A"/>
    <w:rsid w:val="3DDF0BBF"/>
    <w:rsid w:val="3DE01FC7"/>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A350F2"/>
    <w:rsid w:val="3EA42697"/>
    <w:rsid w:val="3EA46B27"/>
    <w:rsid w:val="3EAA044F"/>
    <w:rsid w:val="3EAD71ED"/>
    <w:rsid w:val="3EAE4CB6"/>
    <w:rsid w:val="3EB43FA9"/>
    <w:rsid w:val="3EB87667"/>
    <w:rsid w:val="3EC3128F"/>
    <w:rsid w:val="3EC5689E"/>
    <w:rsid w:val="3EC62DBD"/>
    <w:rsid w:val="3ECD42F7"/>
    <w:rsid w:val="3ED70CA4"/>
    <w:rsid w:val="3ED80620"/>
    <w:rsid w:val="3EE208F4"/>
    <w:rsid w:val="3EE36E4D"/>
    <w:rsid w:val="3EE7036C"/>
    <w:rsid w:val="3EEC29F5"/>
    <w:rsid w:val="3EF97269"/>
    <w:rsid w:val="3EFC1F74"/>
    <w:rsid w:val="3EFC2F12"/>
    <w:rsid w:val="3F0019BE"/>
    <w:rsid w:val="3F067207"/>
    <w:rsid w:val="3F091EA1"/>
    <w:rsid w:val="3F0D1D34"/>
    <w:rsid w:val="3F0E06AC"/>
    <w:rsid w:val="3F105AA4"/>
    <w:rsid w:val="3F2819A1"/>
    <w:rsid w:val="3F283271"/>
    <w:rsid w:val="3F30597D"/>
    <w:rsid w:val="3F30761D"/>
    <w:rsid w:val="3F325C01"/>
    <w:rsid w:val="3F43671B"/>
    <w:rsid w:val="3F5020DE"/>
    <w:rsid w:val="3F543663"/>
    <w:rsid w:val="3F5B215A"/>
    <w:rsid w:val="3F6776DB"/>
    <w:rsid w:val="3F7264F2"/>
    <w:rsid w:val="3F7871B2"/>
    <w:rsid w:val="3F7878C0"/>
    <w:rsid w:val="3F8C4846"/>
    <w:rsid w:val="3F9B5A19"/>
    <w:rsid w:val="3F9C21FC"/>
    <w:rsid w:val="3FA972AC"/>
    <w:rsid w:val="3FAE02D0"/>
    <w:rsid w:val="3FAF0EE0"/>
    <w:rsid w:val="3FC721B5"/>
    <w:rsid w:val="3FCB3748"/>
    <w:rsid w:val="3FE94185"/>
    <w:rsid w:val="3FEC3E76"/>
    <w:rsid w:val="3FF9320D"/>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E37956"/>
    <w:rsid w:val="40E50831"/>
    <w:rsid w:val="40EE044B"/>
    <w:rsid w:val="40F80ABF"/>
    <w:rsid w:val="40FB317F"/>
    <w:rsid w:val="4102118A"/>
    <w:rsid w:val="41093653"/>
    <w:rsid w:val="410C4FB1"/>
    <w:rsid w:val="410D60D4"/>
    <w:rsid w:val="411572E6"/>
    <w:rsid w:val="41371D36"/>
    <w:rsid w:val="41387C72"/>
    <w:rsid w:val="415002C5"/>
    <w:rsid w:val="41504FC5"/>
    <w:rsid w:val="415601EB"/>
    <w:rsid w:val="4164413F"/>
    <w:rsid w:val="416E69EF"/>
    <w:rsid w:val="418568C9"/>
    <w:rsid w:val="419C040C"/>
    <w:rsid w:val="419C311F"/>
    <w:rsid w:val="419E3A80"/>
    <w:rsid w:val="41B10C06"/>
    <w:rsid w:val="41BB0D38"/>
    <w:rsid w:val="41C5174C"/>
    <w:rsid w:val="41CC2CDA"/>
    <w:rsid w:val="41D079E7"/>
    <w:rsid w:val="41D23441"/>
    <w:rsid w:val="41D2460A"/>
    <w:rsid w:val="41E0025A"/>
    <w:rsid w:val="41E74575"/>
    <w:rsid w:val="41EE4162"/>
    <w:rsid w:val="42143EC5"/>
    <w:rsid w:val="421D6234"/>
    <w:rsid w:val="4221404C"/>
    <w:rsid w:val="4222622E"/>
    <w:rsid w:val="422420A4"/>
    <w:rsid w:val="4227340F"/>
    <w:rsid w:val="422C2E8B"/>
    <w:rsid w:val="422D53C3"/>
    <w:rsid w:val="422D59DD"/>
    <w:rsid w:val="4234024B"/>
    <w:rsid w:val="4238513F"/>
    <w:rsid w:val="424F5796"/>
    <w:rsid w:val="42541B36"/>
    <w:rsid w:val="42803F7F"/>
    <w:rsid w:val="42824FD7"/>
    <w:rsid w:val="42837137"/>
    <w:rsid w:val="42955262"/>
    <w:rsid w:val="42AA4173"/>
    <w:rsid w:val="42AB4F5C"/>
    <w:rsid w:val="42AD4D0C"/>
    <w:rsid w:val="42AF051D"/>
    <w:rsid w:val="42AF43C6"/>
    <w:rsid w:val="42B430CE"/>
    <w:rsid w:val="42BB3633"/>
    <w:rsid w:val="42C94AF7"/>
    <w:rsid w:val="42CA5F99"/>
    <w:rsid w:val="42CB5D11"/>
    <w:rsid w:val="42CE5BDF"/>
    <w:rsid w:val="42DD466D"/>
    <w:rsid w:val="42E43294"/>
    <w:rsid w:val="42FB20F8"/>
    <w:rsid w:val="42FE5DD8"/>
    <w:rsid w:val="430036DB"/>
    <w:rsid w:val="4313533D"/>
    <w:rsid w:val="43185528"/>
    <w:rsid w:val="4319681D"/>
    <w:rsid w:val="431C78A1"/>
    <w:rsid w:val="431E1A0A"/>
    <w:rsid w:val="431E4D05"/>
    <w:rsid w:val="4322395D"/>
    <w:rsid w:val="432F4D86"/>
    <w:rsid w:val="433064B2"/>
    <w:rsid w:val="433C0FA1"/>
    <w:rsid w:val="435169D4"/>
    <w:rsid w:val="43583A50"/>
    <w:rsid w:val="435B19AC"/>
    <w:rsid w:val="4362169F"/>
    <w:rsid w:val="43664CDB"/>
    <w:rsid w:val="43672983"/>
    <w:rsid w:val="436A15A1"/>
    <w:rsid w:val="437A6101"/>
    <w:rsid w:val="43853A66"/>
    <w:rsid w:val="438A6E21"/>
    <w:rsid w:val="4390180C"/>
    <w:rsid w:val="43956F96"/>
    <w:rsid w:val="43965872"/>
    <w:rsid w:val="43983C58"/>
    <w:rsid w:val="439B15B6"/>
    <w:rsid w:val="43A567E2"/>
    <w:rsid w:val="43AD3F84"/>
    <w:rsid w:val="43C82993"/>
    <w:rsid w:val="43CC7059"/>
    <w:rsid w:val="43CE748D"/>
    <w:rsid w:val="43D47E8F"/>
    <w:rsid w:val="43E223BF"/>
    <w:rsid w:val="43E92774"/>
    <w:rsid w:val="43EA5BC5"/>
    <w:rsid w:val="43ED2B74"/>
    <w:rsid w:val="43EE5418"/>
    <w:rsid w:val="43FE37BC"/>
    <w:rsid w:val="44001FD6"/>
    <w:rsid w:val="440472ED"/>
    <w:rsid w:val="44257631"/>
    <w:rsid w:val="443C6039"/>
    <w:rsid w:val="443D5DEC"/>
    <w:rsid w:val="4440270C"/>
    <w:rsid w:val="44494C50"/>
    <w:rsid w:val="44563500"/>
    <w:rsid w:val="445947F2"/>
    <w:rsid w:val="445A35F5"/>
    <w:rsid w:val="447F70DB"/>
    <w:rsid w:val="44874034"/>
    <w:rsid w:val="44982BE4"/>
    <w:rsid w:val="449F0124"/>
    <w:rsid w:val="44A062DD"/>
    <w:rsid w:val="44A75F61"/>
    <w:rsid w:val="44A83A29"/>
    <w:rsid w:val="44C349A2"/>
    <w:rsid w:val="44C87563"/>
    <w:rsid w:val="44CF2AE3"/>
    <w:rsid w:val="44D32E37"/>
    <w:rsid w:val="44D72B56"/>
    <w:rsid w:val="44E105CA"/>
    <w:rsid w:val="44E65B25"/>
    <w:rsid w:val="44ED76C6"/>
    <w:rsid w:val="44F06C0F"/>
    <w:rsid w:val="44F21FF0"/>
    <w:rsid w:val="44F94F2A"/>
    <w:rsid w:val="44FF2F6D"/>
    <w:rsid w:val="45077D66"/>
    <w:rsid w:val="4510134A"/>
    <w:rsid w:val="451A30A5"/>
    <w:rsid w:val="452469E0"/>
    <w:rsid w:val="4533418E"/>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604D6"/>
    <w:rsid w:val="45DB1BD8"/>
    <w:rsid w:val="45DE20EE"/>
    <w:rsid w:val="45E4559E"/>
    <w:rsid w:val="45F27E02"/>
    <w:rsid w:val="45F27F81"/>
    <w:rsid w:val="45FC573C"/>
    <w:rsid w:val="45FC5A31"/>
    <w:rsid w:val="45FD60A4"/>
    <w:rsid w:val="461129F5"/>
    <w:rsid w:val="46154F47"/>
    <w:rsid w:val="46245014"/>
    <w:rsid w:val="46253BFB"/>
    <w:rsid w:val="46457DCB"/>
    <w:rsid w:val="464A2D4F"/>
    <w:rsid w:val="464D239F"/>
    <w:rsid w:val="464E5321"/>
    <w:rsid w:val="465052CE"/>
    <w:rsid w:val="46563395"/>
    <w:rsid w:val="465A7B29"/>
    <w:rsid w:val="465D4A9B"/>
    <w:rsid w:val="46655EC2"/>
    <w:rsid w:val="46693223"/>
    <w:rsid w:val="466A3751"/>
    <w:rsid w:val="466A4F86"/>
    <w:rsid w:val="467D3F12"/>
    <w:rsid w:val="467F3003"/>
    <w:rsid w:val="46852F2D"/>
    <w:rsid w:val="46852FDF"/>
    <w:rsid w:val="468603A4"/>
    <w:rsid w:val="468B2A43"/>
    <w:rsid w:val="469A1316"/>
    <w:rsid w:val="46A24B23"/>
    <w:rsid w:val="46B06A7E"/>
    <w:rsid w:val="46B23FF1"/>
    <w:rsid w:val="46B578C2"/>
    <w:rsid w:val="46BC2FC8"/>
    <w:rsid w:val="46BD3794"/>
    <w:rsid w:val="46BD70BB"/>
    <w:rsid w:val="46BF3A54"/>
    <w:rsid w:val="46C16328"/>
    <w:rsid w:val="46D14F4D"/>
    <w:rsid w:val="46D44D47"/>
    <w:rsid w:val="46DB40FF"/>
    <w:rsid w:val="46DE1AF8"/>
    <w:rsid w:val="46E04422"/>
    <w:rsid w:val="46E37CFB"/>
    <w:rsid w:val="46E5408F"/>
    <w:rsid w:val="46EA006B"/>
    <w:rsid w:val="46ED1809"/>
    <w:rsid w:val="46F469EF"/>
    <w:rsid w:val="46F82611"/>
    <w:rsid w:val="46F87827"/>
    <w:rsid w:val="47096720"/>
    <w:rsid w:val="47107316"/>
    <w:rsid w:val="47217EF0"/>
    <w:rsid w:val="472A4562"/>
    <w:rsid w:val="472D3C20"/>
    <w:rsid w:val="4730582F"/>
    <w:rsid w:val="473177F9"/>
    <w:rsid w:val="4734158A"/>
    <w:rsid w:val="47354DD0"/>
    <w:rsid w:val="47443707"/>
    <w:rsid w:val="47452B2C"/>
    <w:rsid w:val="47482E6D"/>
    <w:rsid w:val="4748755C"/>
    <w:rsid w:val="474C1707"/>
    <w:rsid w:val="474D048B"/>
    <w:rsid w:val="47523625"/>
    <w:rsid w:val="476543C8"/>
    <w:rsid w:val="47663683"/>
    <w:rsid w:val="47677197"/>
    <w:rsid w:val="477638EF"/>
    <w:rsid w:val="477F6F68"/>
    <w:rsid w:val="478C79E5"/>
    <w:rsid w:val="47900FEF"/>
    <w:rsid w:val="47930E3F"/>
    <w:rsid w:val="47954EFF"/>
    <w:rsid w:val="479C7BC1"/>
    <w:rsid w:val="47A65ED5"/>
    <w:rsid w:val="47A93E8B"/>
    <w:rsid w:val="47BC7A84"/>
    <w:rsid w:val="47BE2C9C"/>
    <w:rsid w:val="47D00CA5"/>
    <w:rsid w:val="47D30E5E"/>
    <w:rsid w:val="47D80ED4"/>
    <w:rsid w:val="47E65D5E"/>
    <w:rsid w:val="47EA655F"/>
    <w:rsid w:val="47F471A7"/>
    <w:rsid w:val="47F73FAF"/>
    <w:rsid w:val="47FE22FD"/>
    <w:rsid w:val="4805419F"/>
    <w:rsid w:val="480D23E6"/>
    <w:rsid w:val="480D5FC6"/>
    <w:rsid w:val="48195B0F"/>
    <w:rsid w:val="481B0FEE"/>
    <w:rsid w:val="4828767A"/>
    <w:rsid w:val="48293DB2"/>
    <w:rsid w:val="48303EBA"/>
    <w:rsid w:val="48312B74"/>
    <w:rsid w:val="48387044"/>
    <w:rsid w:val="484816F1"/>
    <w:rsid w:val="48493460"/>
    <w:rsid w:val="484F2B44"/>
    <w:rsid w:val="485979F1"/>
    <w:rsid w:val="48645AFB"/>
    <w:rsid w:val="48654112"/>
    <w:rsid w:val="4869799A"/>
    <w:rsid w:val="487C0CA5"/>
    <w:rsid w:val="48882B5D"/>
    <w:rsid w:val="48886CBD"/>
    <w:rsid w:val="488A51C7"/>
    <w:rsid w:val="48947AE1"/>
    <w:rsid w:val="489D2292"/>
    <w:rsid w:val="48A84430"/>
    <w:rsid w:val="48BF4E30"/>
    <w:rsid w:val="48CC4712"/>
    <w:rsid w:val="48D12E2D"/>
    <w:rsid w:val="48D52766"/>
    <w:rsid w:val="48DC3269"/>
    <w:rsid w:val="48EF2938"/>
    <w:rsid w:val="48F61B46"/>
    <w:rsid w:val="48FC5123"/>
    <w:rsid w:val="49023961"/>
    <w:rsid w:val="490A6802"/>
    <w:rsid w:val="490C5E8D"/>
    <w:rsid w:val="49274983"/>
    <w:rsid w:val="492D6105"/>
    <w:rsid w:val="493A64F9"/>
    <w:rsid w:val="49520C15"/>
    <w:rsid w:val="49541B3A"/>
    <w:rsid w:val="4969347B"/>
    <w:rsid w:val="496D0F3E"/>
    <w:rsid w:val="49765FDE"/>
    <w:rsid w:val="49991440"/>
    <w:rsid w:val="49A000E7"/>
    <w:rsid w:val="49B272C3"/>
    <w:rsid w:val="49BE1D26"/>
    <w:rsid w:val="49C02AA5"/>
    <w:rsid w:val="49C47704"/>
    <w:rsid w:val="49CD76D0"/>
    <w:rsid w:val="49CF0882"/>
    <w:rsid w:val="49E14E47"/>
    <w:rsid w:val="49E76886"/>
    <w:rsid w:val="49E92E32"/>
    <w:rsid w:val="49E93B30"/>
    <w:rsid w:val="49EF0508"/>
    <w:rsid w:val="49F33009"/>
    <w:rsid w:val="49F96503"/>
    <w:rsid w:val="4A0503F8"/>
    <w:rsid w:val="4A0A5F4C"/>
    <w:rsid w:val="4A213BFE"/>
    <w:rsid w:val="4A235F74"/>
    <w:rsid w:val="4A2D2262"/>
    <w:rsid w:val="4A310769"/>
    <w:rsid w:val="4A332538"/>
    <w:rsid w:val="4A3701E0"/>
    <w:rsid w:val="4A47627D"/>
    <w:rsid w:val="4A5C380A"/>
    <w:rsid w:val="4A5C5569"/>
    <w:rsid w:val="4A5E52A5"/>
    <w:rsid w:val="4A6F173B"/>
    <w:rsid w:val="4A702F4A"/>
    <w:rsid w:val="4A7047E7"/>
    <w:rsid w:val="4A740FA0"/>
    <w:rsid w:val="4A7823C7"/>
    <w:rsid w:val="4A7B3A46"/>
    <w:rsid w:val="4A883C2C"/>
    <w:rsid w:val="4A886BBE"/>
    <w:rsid w:val="4AA50D59"/>
    <w:rsid w:val="4AAC0CA0"/>
    <w:rsid w:val="4AB01188"/>
    <w:rsid w:val="4AB07493"/>
    <w:rsid w:val="4AB10DA0"/>
    <w:rsid w:val="4AB6069A"/>
    <w:rsid w:val="4ABA0954"/>
    <w:rsid w:val="4ABA3856"/>
    <w:rsid w:val="4AC25B4E"/>
    <w:rsid w:val="4AD60720"/>
    <w:rsid w:val="4AD60806"/>
    <w:rsid w:val="4AD96013"/>
    <w:rsid w:val="4ADA0FAD"/>
    <w:rsid w:val="4ADD6A4C"/>
    <w:rsid w:val="4AEE64E8"/>
    <w:rsid w:val="4AEF0CF2"/>
    <w:rsid w:val="4AF02A54"/>
    <w:rsid w:val="4AFA45B1"/>
    <w:rsid w:val="4AFC3F56"/>
    <w:rsid w:val="4AFD22D3"/>
    <w:rsid w:val="4B064A8A"/>
    <w:rsid w:val="4B083AB0"/>
    <w:rsid w:val="4B1D0242"/>
    <w:rsid w:val="4B1E2AE8"/>
    <w:rsid w:val="4B3069DA"/>
    <w:rsid w:val="4B3341BD"/>
    <w:rsid w:val="4B367226"/>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72796"/>
    <w:rsid w:val="4BD03B5D"/>
    <w:rsid w:val="4BD51BF8"/>
    <w:rsid w:val="4BD70C13"/>
    <w:rsid w:val="4BE54F0C"/>
    <w:rsid w:val="4BE55F5B"/>
    <w:rsid w:val="4C1143CF"/>
    <w:rsid w:val="4C1B17FC"/>
    <w:rsid w:val="4C1E292E"/>
    <w:rsid w:val="4C231EA4"/>
    <w:rsid w:val="4C34073F"/>
    <w:rsid w:val="4C3F15A7"/>
    <w:rsid w:val="4C4E3356"/>
    <w:rsid w:val="4C597A59"/>
    <w:rsid w:val="4C5A2804"/>
    <w:rsid w:val="4C5A3A04"/>
    <w:rsid w:val="4C5B5836"/>
    <w:rsid w:val="4C6A701D"/>
    <w:rsid w:val="4C785086"/>
    <w:rsid w:val="4C7B2868"/>
    <w:rsid w:val="4C862133"/>
    <w:rsid w:val="4CA07951"/>
    <w:rsid w:val="4CA65ED3"/>
    <w:rsid w:val="4CAD2A65"/>
    <w:rsid w:val="4CD05015"/>
    <w:rsid w:val="4CD63AF3"/>
    <w:rsid w:val="4CE10D7A"/>
    <w:rsid w:val="4CEA614C"/>
    <w:rsid w:val="4CEC3947"/>
    <w:rsid w:val="4CF0095E"/>
    <w:rsid w:val="4CF10E53"/>
    <w:rsid w:val="4CF70FFC"/>
    <w:rsid w:val="4D072DCC"/>
    <w:rsid w:val="4D097B6C"/>
    <w:rsid w:val="4D0D0539"/>
    <w:rsid w:val="4D0D1C13"/>
    <w:rsid w:val="4D0F5522"/>
    <w:rsid w:val="4D103259"/>
    <w:rsid w:val="4D10428E"/>
    <w:rsid w:val="4D14123C"/>
    <w:rsid w:val="4D174235"/>
    <w:rsid w:val="4D192640"/>
    <w:rsid w:val="4D365F8A"/>
    <w:rsid w:val="4D541D12"/>
    <w:rsid w:val="4D566DAC"/>
    <w:rsid w:val="4D590D7B"/>
    <w:rsid w:val="4D692EA0"/>
    <w:rsid w:val="4D77383E"/>
    <w:rsid w:val="4D7E2C5D"/>
    <w:rsid w:val="4D7E2E5D"/>
    <w:rsid w:val="4D896D04"/>
    <w:rsid w:val="4D8B039E"/>
    <w:rsid w:val="4D8C47A4"/>
    <w:rsid w:val="4D9D543F"/>
    <w:rsid w:val="4D9E17EF"/>
    <w:rsid w:val="4DA85476"/>
    <w:rsid w:val="4DB1689D"/>
    <w:rsid w:val="4DB33FB4"/>
    <w:rsid w:val="4DBE7ED2"/>
    <w:rsid w:val="4DC12FB5"/>
    <w:rsid w:val="4DCE3FDB"/>
    <w:rsid w:val="4DD66968"/>
    <w:rsid w:val="4DE531BE"/>
    <w:rsid w:val="4DFC3550"/>
    <w:rsid w:val="4E0C0A64"/>
    <w:rsid w:val="4E1E2553"/>
    <w:rsid w:val="4E231512"/>
    <w:rsid w:val="4E33783A"/>
    <w:rsid w:val="4E4407A8"/>
    <w:rsid w:val="4E4576FD"/>
    <w:rsid w:val="4E481977"/>
    <w:rsid w:val="4E593698"/>
    <w:rsid w:val="4E620F41"/>
    <w:rsid w:val="4E705F5C"/>
    <w:rsid w:val="4E8334AB"/>
    <w:rsid w:val="4E8549E6"/>
    <w:rsid w:val="4E856A79"/>
    <w:rsid w:val="4E8A2578"/>
    <w:rsid w:val="4E9054CE"/>
    <w:rsid w:val="4E9107F3"/>
    <w:rsid w:val="4EA24397"/>
    <w:rsid w:val="4EA429A3"/>
    <w:rsid w:val="4EB07961"/>
    <w:rsid w:val="4EBA1EDD"/>
    <w:rsid w:val="4EBC7A2F"/>
    <w:rsid w:val="4EC34B28"/>
    <w:rsid w:val="4EE27FD7"/>
    <w:rsid w:val="4EEB04F8"/>
    <w:rsid w:val="4EEC0F0F"/>
    <w:rsid w:val="4EF31987"/>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15C91"/>
    <w:rsid w:val="4FA41361"/>
    <w:rsid w:val="4FA42D2F"/>
    <w:rsid w:val="4FBE648D"/>
    <w:rsid w:val="4FC5581E"/>
    <w:rsid w:val="4FC61027"/>
    <w:rsid w:val="4FD633C3"/>
    <w:rsid w:val="4FDF4826"/>
    <w:rsid w:val="4FE01EEA"/>
    <w:rsid w:val="4FF45B4F"/>
    <w:rsid w:val="4FF72EF9"/>
    <w:rsid w:val="4FF82301"/>
    <w:rsid w:val="5004172D"/>
    <w:rsid w:val="500B72B0"/>
    <w:rsid w:val="50162A96"/>
    <w:rsid w:val="502E359B"/>
    <w:rsid w:val="50305735"/>
    <w:rsid w:val="503521E3"/>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040DF"/>
    <w:rsid w:val="50CD0B4C"/>
    <w:rsid w:val="50D10FBA"/>
    <w:rsid w:val="50D1367C"/>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77D74"/>
    <w:rsid w:val="517E3ADF"/>
    <w:rsid w:val="51835A46"/>
    <w:rsid w:val="5184413B"/>
    <w:rsid w:val="518974B9"/>
    <w:rsid w:val="519E2080"/>
    <w:rsid w:val="51B33335"/>
    <w:rsid w:val="51B57763"/>
    <w:rsid w:val="51B65AB5"/>
    <w:rsid w:val="51BE3193"/>
    <w:rsid w:val="51C33D45"/>
    <w:rsid w:val="51C524FD"/>
    <w:rsid w:val="51CF609F"/>
    <w:rsid w:val="51D47E7D"/>
    <w:rsid w:val="51D852F8"/>
    <w:rsid w:val="51EE20A2"/>
    <w:rsid w:val="51F53C34"/>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A57B4"/>
    <w:rsid w:val="52A30234"/>
    <w:rsid w:val="52CF7512"/>
    <w:rsid w:val="52DA47CE"/>
    <w:rsid w:val="52DD2DB2"/>
    <w:rsid w:val="52E02181"/>
    <w:rsid w:val="52E60428"/>
    <w:rsid w:val="52F21EED"/>
    <w:rsid w:val="52F31014"/>
    <w:rsid w:val="52F512E8"/>
    <w:rsid w:val="52F53011"/>
    <w:rsid w:val="52FC5EC1"/>
    <w:rsid w:val="52FE26F5"/>
    <w:rsid w:val="530049EA"/>
    <w:rsid w:val="53014185"/>
    <w:rsid w:val="53136DC0"/>
    <w:rsid w:val="53155CC7"/>
    <w:rsid w:val="5316518F"/>
    <w:rsid w:val="53171271"/>
    <w:rsid w:val="531805A8"/>
    <w:rsid w:val="53197336"/>
    <w:rsid w:val="531A310D"/>
    <w:rsid w:val="531C7273"/>
    <w:rsid w:val="53305CD1"/>
    <w:rsid w:val="53444096"/>
    <w:rsid w:val="53446BE8"/>
    <w:rsid w:val="53483174"/>
    <w:rsid w:val="534D7880"/>
    <w:rsid w:val="53525C6B"/>
    <w:rsid w:val="53560919"/>
    <w:rsid w:val="53563914"/>
    <w:rsid w:val="53591ED8"/>
    <w:rsid w:val="536052E6"/>
    <w:rsid w:val="53656812"/>
    <w:rsid w:val="53674C9B"/>
    <w:rsid w:val="53676915"/>
    <w:rsid w:val="537F3BD7"/>
    <w:rsid w:val="53971416"/>
    <w:rsid w:val="539772C6"/>
    <w:rsid w:val="539F2495"/>
    <w:rsid w:val="53B010A1"/>
    <w:rsid w:val="53B82F38"/>
    <w:rsid w:val="53B83956"/>
    <w:rsid w:val="53C159E6"/>
    <w:rsid w:val="53CB685D"/>
    <w:rsid w:val="53D40532"/>
    <w:rsid w:val="53D63AFB"/>
    <w:rsid w:val="53DB3EF6"/>
    <w:rsid w:val="53DD1933"/>
    <w:rsid w:val="53E87A40"/>
    <w:rsid w:val="53EE0458"/>
    <w:rsid w:val="53F4709E"/>
    <w:rsid w:val="5405568E"/>
    <w:rsid w:val="540A0FFC"/>
    <w:rsid w:val="540E5E81"/>
    <w:rsid w:val="541252D6"/>
    <w:rsid w:val="54195E62"/>
    <w:rsid w:val="541B7634"/>
    <w:rsid w:val="54203E59"/>
    <w:rsid w:val="542415E9"/>
    <w:rsid w:val="54251A23"/>
    <w:rsid w:val="542D3DA1"/>
    <w:rsid w:val="542E7411"/>
    <w:rsid w:val="544B2184"/>
    <w:rsid w:val="544C39A6"/>
    <w:rsid w:val="54514492"/>
    <w:rsid w:val="54565166"/>
    <w:rsid w:val="54595F5A"/>
    <w:rsid w:val="546213ED"/>
    <w:rsid w:val="54696C14"/>
    <w:rsid w:val="54883C58"/>
    <w:rsid w:val="54943823"/>
    <w:rsid w:val="54A27DBE"/>
    <w:rsid w:val="54B87F86"/>
    <w:rsid w:val="54BB52C7"/>
    <w:rsid w:val="54D5318F"/>
    <w:rsid w:val="54DD04CB"/>
    <w:rsid w:val="54E46530"/>
    <w:rsid w:val="54EC1F15"/>
    <w:rsid w:val="54F211C4"/>
    <w:rsid w:val="54F96860"/>
    <w:rsid w:val="550814AB"/>
    <w:rsid w:val="55106A70"/>
    <w:rsid w:val="551F6409"/>
    <w:rsid w:val="552F30AC"/>
    <w:rsid w:val="55322247"/>
    <w:rsid w:val="553D039B"/>
    <w:rsid w:val="5542561D"/>
    <w:rsid w:val="554422D7"/>
    <w:rsid w:val="55596049"/>
    <w:rsid w:val="555C04A6"/>
    <w:rsid w:val="55746088"/>
    <w:rsid w:val="557E5B62"/>
    <w:rsid w:val="55875C57"/>
    <w:rsid w:val="558F5D5B"/>
    <w:rsid w:val="559F3765"/>
    <w:rsid w:val="55A451B4"/>
    <w:rsid w:val="55AD788C"/>
    <w:rsid w:val="55B93BD4"/>
    <w:rsid w:val="55C1175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4787C"/>
    <w:rsid w:val="562A5AC2"/>
    <w:rsid w:val="563475ED"/>
    <w:rsid w:val="564528AA"/>
    <w:rsid w:val="56494E55"/>
    <w:rsid w:val="564A1208"/>
    <w:rsid w:val="564C6BA5"/>
    <w:rsid w:val="564E110F"/>
    <w:rsid w:val="56514A0F"/>
    <w:rsid w:val="5657244C"/>
    <w:rsid w:val="565B1762"/>
    <w:rsid w:val="565E2597"/>
    <w:rsid w:val="566C3314"/>
    <w:rsid w:val="566C545D"/>
    <w:rsid w:val="566E69CD"/>
    <w:rsid w:val="56722BA7"/>
    <w:rsid w:val="567A1780"/>
    <w:rsid w:val="56883FEE"/>
    <w:rsid w:val="568C422C"/>
    <w:rsid w:val="56A0004B"/>
    <w:rsid w:val="56A75ACE"/>
    <w:rsid w:val="56AC7380"/>
    <w:rsid w:val="56AF528C"/>
    <w:rsid w:val="56B41EFB"/>
    <w:rsid w:val="56B55E2F"/>
    <w:rsid w:val="56B6374E"/>
    <w:rsid w:val="56BF5605"/>
    <w:rsid w:val="56CE7CDD"/>
    <w:rsid w:val="56D82C9C"/>
    <w:rsid w:val="56E86D31"/>
    <w:rsid w:val="56EA1CBC"/>
    <w:rsid w:val="56EB384D"/>
    <w:rsid w:val="56ED3D42"/>
    <w:rsid w:val="56F30DFB"/>
    <w:rsid w:val="56F71A23"/>
    <w:rsid w:val="56F85DA3"/>
    <w:rsid w:val="57052789"/>
    <w:rsid w:val="57053906"/>
    <w:rsid w:val="57091A66"/>
    <w:rsid w:val="570B147C"/>
    <w:rsid w:val="572551B6"/>
    <w:rsid w:val="57276B84"/>
    <w:rsid w:val="5729672E"/>
    <w:rsid w:val="572F40D4"/>
    <w:rsid w:val="57395A55"/>
    <w:rsid w:val="57476CD6"/>
    <w:rsid w:val="574B1B3B"/>
    <w:rsid w:val="574C67B7"/>
    <w:rsid w:val="57541F26"/>
    <w:rsid w:val="575434A3"/>
    <w:rsid w:val="57557D87"/>
    <w:rsid w:val="575A5090"/>
    <w:rsid w:val="575D4169"/>
    <w:rsid w:val="57696BEB"/>
    <w:rsid w:val="57770B19"/>
    <w:rsid w:val="577A1356"/>
    <w:rsid w:val="577E231C"/>
    <w:rsid w:val="57831C8C"/>
    <w:rsid w:val="579A73A6"/>
    <w:rsid w:val="57AB7428"/>
    <w:rsid w:val="57B009A3"/>
    <w:rsid w:val="57B2211D"/>
    <w:rsid w:val="57BC4B84"/>
    <w:rsid w:val="57BE7928"/>
    <w:rsid w:val="57C4732C"/>
    <w:rsid w:val="57C775A9"/>
    <w:rsid w:val="57C97277"/>
    <w:rsid w:val="57D842A7"/>
    <w:rsid w:val="57DE56F0"/>
    <w:rsid w:val="57E154B3"/>
    <w:rsid w:val="57E61ED8"/>
    <w:rsid w:val="57FD22B4"/>
    <w:rsid w:val="57FD7778"/>
    <w:rsid w:val="580167DE"/>
    <w:rsid w:val="58041D44"/>
    <w:rsid w:val="580617B0"/>
    <w:rsid w:val="580715F4"/>
    <w:rsid w:val="58085EBF"/>
    <w:rsid w:val="58170AC2"/>
    <w:rsid w:val="581811B5"/>
    <w:rsid w:val="58204B75"/>
    <w:rsid w:val="58230FB6"/>
    <w:rsid w:val="58302046"/>
    <w:rsid w:val="5831743B"/>
    <w:rsid w:val="583465B3"/>
    <w:rsid w:val="58383575"/>
    <w:rsid w:val="584D4BCC"/>
    <w:rsid w:val="58541AD8"/>
    <w:rsid w:val="58614E4E"/>
    <w:rsid w:val="58660FEE"/>
    <w:rsid w:val="586D305F"/>
    <w:rsid w:val="587C67FA"/>
    <w:rsid w:val="58873C71"/>
    <w:rsid w:val="589111B1"/>
    <w:rsid w:val="58972FFD"/>
    <w:rsid w:val="58985642"/>
    <w:rsid w:val="58A90FF1"/>
    <w:rsid w:val="58B1149D"/>
    <w:rsid w:val="58B97400"/>
    <w:rsid w:val="58BD36B6"/>
    <w:rsid w:val="58C2713D"/>
    <w:rsid w:val="58C33EAC"/>
    <w:rsid w:val="58C50BD1"/>
    <w:rsid w:val="58D32A0E"/>
    <w:rsid w:val="58FF1A64"/>
    <w:rsid w:val="5905246F"/>
    <w:rsid w:val="59052ABB"/>
    <w:rsid w:val="59100572"/>
    <w:rsid w:val="5910749D"/>
    <w:rsid w:val="59136B0F"/>
    <w:rsid w:val="592563FC"/>
    <w:rsid w:val="59265F7E"/>
    <w:rsid w:val="59554D63"/>
    <w:rsid w:val="5958173C"/>
    <w:rsid w:val="59594FC8"/>
    <w:rsid w:val="595A0CBC"/>
    <w:rsid w:val="5964247D"/>
    <w:rsid w:val="596B4072"/>
    <w:rsid w:val="598F1E94"/>
    <w:rsid w:val="59A67BDD"/>
    <w:rsid w:val="59A7133C"/>
    <w:rsid w:val="59A90269"/>
    <w:rsid w:val="59A956D6"/>
    <w:rsid w:val="59BD682F"/>
    <w:rsid w:val="59C14ED1"/>
    <w:rsid w:val="59C32A85"/>
    <w:rsid w:val="59DA1A3F"/>
    <w:rsid w:val="59DC49E3"/>
    <w:rsid w:val="59E337B8"/>
    <w:rsid w:val="59E90796"/>
    <w:rsid w:val="59EB5AF8"/>
    <w:rsid w:val="59F92488"/>
    <w:rsid w:val="5A146681"/>
    <w:rsid w:val="5A1C6FA5"/>
    <w:rsid w:val="5A2B3122"/>
    <w:rsid w:val="5A373CD2"/>
    <w:rsid w:val="5A3E3541"/>
    <w:rsid w:val="5A450939"/>
    <w:rsid w:val="5A4C0F56"/>
    <w:rsid w:val="5A4D46E6"/>
    <w:rsid w:val="5A4F531A"/>
    <w:rsid w:val="5A60704E"/>
    <w:rsid w:val="5A656605"/>
    <w:rsid w:val="5A677B07"/>
    <w:rsid w:val="5A7401B0"/>
    <w:rsid w:val="5A7900BC"/>
    <w:rsid w:val="5A817E5A"/>
    <w:rsid w:val="5A8B4504"/>
    <w:rsid w:val="5AA10743"/>
    <w:rsid w:val="5AA205AE"/>
    <w:rsid w:val="5AA64716"/>
    <w:rsid w:val="5AAF7088"/>
    <w:rsid w:val="5AB07ADC"/>
    <w:rsid w:val="5ABA5FA5"/>
    <w:rsid w:val="5AC056E3"/>
    <w:rsid w:val="5AC56DFA"/>
    <w:rsid w:val="5ACD00F9"/>
    <w:rsid w:val="5AD717AB"/>
    <w:rsid w:val="5AE5573C"/>
    <w:rsid w:val="5AE92087"/>
    <w:rsid w:val="5AE92FA5"/>
    <w:rsid w:val="5AF555EA"/>
    <w:rsid w:val="5B0B1E3F"/>
    <w:rsid w:val="5B177AA1"/>
    <w:rsid w:val="5B221504"/>
    <w:rsid w:val="5B2312D3"/>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5B90"/>
    <w:rsid w:val="5C550362"/>
    <w:rsid w:val="5C5D6388"/>
    <w:rsid w:val="5C684936"/>
    <w:rsid w:val="5C6E2B1D"/>
    <w:rsid w:val="5C6E3365"/>
    <w:rsid w:val="5C851A5F"/>
    <w:rsid w:val="5CB273BA"/>
    <w:rsid w:val="5CB62C23"/>
    <w:rsid w:val="5CC2160A"/>
    <w:rsid w:val="5CC24316"/>
    <w:rsid w:val="5CC36AD1"/>
    <w:rsid w:val="5CCC180E"/>
    <w:rsid w:val="5CD355BB"/>
    <w:rsid w:val="5CD40D33"/>
    <w:rsid w:val="5CE0364E"/>
    <w:rsid w:val="5CE223F0"/>
    <w:rsid w:val="5CE80EA6"/>
    <w:rsid w:val="5CE926F2"/>
    <w:rsid w:val="5CEE5046"/>
    <w:rsid w:val="5CEF027A"/>
    <w:rsid w:val="5CF67BC7"/>
    <w:rsid w:val="5CFF1DBD"/>
    <w:rsid w:val="5D056292"/>
    <w:rsid w:val="5D1D2A1E"/>
    <w:rsid w:val="5D304DE9"/>
    <w:rsid w:val="5D35657E"/>
    <w:rsid w:val="5D465247"/>
    <w:rsid w:val="5D5F4D8F"/>
    <w:rsid w:val="5D69179F"/>
    <w:rsid w:val="5D6C70A4"/>
    <w:rsid w:val="5D6D5D8C"/>
    <w:rsid w:val="5D6F627A"/>
    <w:rsid w:val="5D7B268A"/>
    <w:rsid w:val="5D7E59CA"/>
    <w:rsid w:val="5D91701B"/>
    <w:rsid w:val="5D941DB2"/>
    <w:rsid w:val="5D96504C"/>
    <w:rsid w:val="5D984611"/>
    <w:rsid w:val="5D9F3FFF"/>
    <w:rsid w:val="5DB342BF"/>
    <w:rsid w:val="5DBD3CA5"/>
    <w:rsid w:val="5DBF6C56"/>
    <w:rsid w:val="5DBF77D6"/>
    <w:rsid w:val="5DC4303A"/>
    <w:rsid w:val="5DC476C9"/>
    <w:rsid w:val="5DEB040A"/>
    <w:rsid w:val="5DED162B"/>
    <w:rsid w:val="5DEE0180"/>
    <w:rsid w:val="5DF56CA1"/>
    <w:rsid w:val="5DFF7F12"/>
    <w:rsid w:val="5E0E082C"/>
    <w:rsid w:val="5E105B8A"/>
    <w:rsid w:val="5E161591"/>
    <w:rsid w:val="5E2B1697"/>
    <w:rsid w:val="5E3140B0"/>
    <w:rsid w:val="5E374E04"/>
    <w:rsid w:val="5E4818D5"/>
    <w:rsid w:val="5E505024"/>
    <w:rsid w:val="5E536C19"/>
    <w:rsid w:val="5E5C17BC"/>
    <w:rsid w:val="5E61017D"/>
    <w:rsid w:val="5E6D6839"/>
    <w:rsid w:val="5E71274B"/>
    <w:rsid w:val="5E77221F"/>
    <w:rsid w:val="5E9535FC"/>
    <w:rsid w:val="5EA81128"/>
    <w:rsid w:val="5EA96987"/>
    <w:rsid w:val="5EAB6958"/>
    <w:rsid w:val="5EAD2BF1"/>
    <w:rsid w:val="5EB165EB"/>
    <w:rsid w:val="5EC9679C"/>
    <w:rsid w:val="5ED12394"/>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1347C"/>
    <w:rsid w:val="5FA30E1E"/>
    <w:rsid w:val="5FC90D46"/>
    <w:rsid w:val="5FEA292A"/>
    <w:rsid w:val="5FEF2697"/>
    <w:rsid w:val="5FF8696E"/>
    <w:rsid w:val="5FF962B9"/>
    <w:rsid w:val="6003635E"/>
    <w:rsid w:val="600618B8"/>
    <w:rsid w:val="600A32A2"/>
    <w:rsid w:val="600D0EE0"/>
    <w:rsid w:val="600D3B84"/>
    <w:rsid w:val="601F6D9B"/>
    <w:rsid w:val="60257028"/>
    <w:rsid w:val="60287B1F"/>
    <w:rsid w:val="602A682A"/>
    <w:rsid w:val="603130F9"/>
    <w:rsid w:val="603B5EA3"/>
    <w:rsid w:val="60474347"/>
    <w:rsid w:val="605C5B54"/>
    <w:rsid w:val="6062074B"/>
    <w:rsid w:val="60633467"/>
    <w:rsid w:val="607728E7"/>
    <w:rsid w:val="607904AE"/>
    <w:rsid w:val="607E1BD7"/>
    <w:rsid w:val="608222F5"/>
    <w:rsid w:val="608E311A"/>
    <w:rsid w:val="60920A74"/>
    <w:rsid w:val="60941530"/>
    <w:rsid w:val="60945A14"/>
    <w:rsid w:val="60996106"/>
    <w:rsid w:val="609D33B7"/>
    <w:rsid w:val="609E1773"/>
    <w:rsid w:val="60A300B4"/>
    <w:rsid w:val="60BB2A94"/>
    <w:rsid w:val="60C47915"/>
    <w:rsid w:val="60CE116B"/>
    <w:rsid w:val="60DD4EFF"/>
    <w:rsid w:val="60F763FB"/>
    <w:rsid w:val="60FD1DED"/>
    <w:rsid w:val="6103459B"/>
    <w:rsid w:val="61103D08"/>
    <w:rsid w:val="61162B5F"/>
    <w:rsid w:val="61233CF6"/>
    <w:rsid w:val="61237AD8"/>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47EAB"/>
    <w:rsid w:val="61D85726"/>
    <w:rsid w:val="61D91DD1"/>
    <w:rsid w:val="61DE3408"/>
    <w:rsid w:val="61E10524"/>
    <w:rsid w:val="61FE7039"/>
    <w:rsid w:val="6206087B"/>
    <w:rsid w:val="62075BA0"/>
    <w:rsid w:val="620B49D1"/>
    <w:rsid w:val="621072B5"/>
    <w:rsid w:val="621B1491"/>
    <w:rsid w:val="62211CBE"/>
    <w:rsid w:val="62221AF7"/>
    <w:rsid w:val="62265898"/>
    <w:rsid w:val="62292EB8"/>
    <w:rsid w:val="622A7574"/>
    <w:rsid w:val="622F70D1"/>
    <w:rsid w:val="6234234D"/>
    <w:rsid w:val="62357241"/>
    <w:rsid w:val="623B6CDE"/>
    <w:rsid w:val="62405BBA"/>
    <w:rsid w:val="624E27C4"/>
    <w:rsid w:val="62531544"/>
    <w:rsid w:val="62535C56"/>
    <w:rsid w:val="6256282E"/>
    <w:rsid w:val="62564143"/>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C25FF"/>
    <w:rsid w:val="63032836"/>
    <w:rsid w:val="63053E62"/>
    <w:rsid w:val="63061A7D"/>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1E6E1F"/>
    <w:rsid w:val="64262278"/>
    <w:rsid w:val="6434173C"/>
    <w:rsid w:val="64374948"/>
    <w:rsid w:val="643C723A"/>
    <w:rsid w:val="6445178B"/>
    <w:rsid w:val="64476B06"/>
    <w:rsid w:val="644B391E"/>
    <w:rsid w:val="644B416D"/>
    <w:rsid w:val="64525521"/>
    <w:rsid w:val="645A2145"/>
    <w:rsid w:val="646D10D1"/>
    <w:rsid w:val="64751A67"/>
    <w:rsid w:val="647A7774"/>
    <w:rsid w:val="647C3B61"/>
    <w:rsid w:val="648B1945"/>
    <w:rsid w:val="648D53E6"/>
    <w:rsid w:val="64946FB7"/>
    <w:rsid w:val="649D0924"/>
    <w:rsid w:val="64BC7BBE"/>
    <w:rsid w:val="64D1032D"/>
    <w:rsid w:val="64D32A27"/>
    <w:rsid w:val="64E36AAE"/>
    <w:rsid w:val="64EE3A14"/>
    <w:rsid w:val="64EF66F4"/>
    <w:rsid w:val="64F85480"/>
    <w:rsid w:val="64FE4C87"/>
    <w:rsid w:val="65010131"/>
    <w:rsid w:val="65016D73"/>
    <w:rsid w:val="6509069B"/>
    <w:rsid w:val="650B3B51"/>
    <w:rsid w:val="65100AFB"/>
    <w:rsid w:val="65183F7B"/>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8302B0"/>
    <w:rsid w:val="65967E27"/>
    <w:rsid w:val="65A35EE4"/>
    <w:rsid w:val="65C33C43"/>
    <w:rsid w:val="65C42626"/>
    <w:rsid w:val="65C87B21"/>
    <w:rsid w:val="65CB7BA4"/>
    <w:rsid w:val="65D50FD3"/>
    <w:rsid w:val="65DC2913"/>
    <w:rsid w:val="65E8541E"/>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C3DC4"/>
    <w:rsid w:val="666F1798"/>
    <w:rsid w:val="667B1A58"/>
    <w:rsid w:val="667C49F0"/>
    <w:rsid w:val="668D2FD9"/>
    <w:rsid w:val="6697489E"/>
    <w:rsid w:val="66B227C9"/>
    <w:rsid w:val="66B333FA"/>
    <w:rsid w:val="66BB7F37"/>
    <w:rsid w:val="66C25B1A"/>
    <w:rsid w:val="66C5515D"/>
    <w:rsid w:val="66C66736"/>
    <w:rsid w:val="66C909FB"/>
    <w:rsid w:val="66D31375"/>
    <w:rsid w:val="66D77CC0"/>
    <w:rsid w:val="66F13DFC"/>
    <w:rsid w:val="66F73908"/>
    <w:rsid w:val="66F80321"/>
    <w:rsid w:val="66FC7C20"/>
    <w:rsid w:val="66FE388A"/>
    <w:rsid w:val="67042D22"/>
    <w:rsid w:val="670A335C"/>
    <w:rsid w:val="671052AD"/>
    <w:rsid w:val="67205C28"/>
    <w:rsid w:val="67270395"/>
    <w:rsid w:val="67310D57"/>
    <w:rsid w:val="6743679C"/>
    <w:rsid w:val="674B517F"/>
    <w:rsid w:val="675E199B"/>
    <w:rsid w:val="676F7C24"/>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350112"/>
    <w:rsid w:val="683F311F"/>
    <w:rsid w:val="68415DB9"/>
    <w:rsid w:val="68425112"/>
    <w:rsid w:val="68527BC6"/>
    <w:rsid w:val="686F224B"/>
    <w:rsid w:val="687406E4"/>
    <w:rsid w:val="68821FCE"/>
    <w:rsid w:val="68841780"/>
    <w:rsid w:val="68866288"/>
    <w:rsid w:val="688B4846"/>
    <w:rsid w:val="688C2C0A"/>
    <w:rsid w:val="688D79E5"/>
    <w:rsid w:val="68937FB3"/>
    <w:rsid w:val="68966381"/>
    <w:rsid w:val="689D6844"/>
    <w:rsid w:val="68A253D6"/>
    <w:rsid w:val="68AF7D2E"/>
    <w:rsid w:val="68B725B5"/>
    <w:rsid w:val="68B804FB"/>
    <w:rsid w:val="68C22556"/>
    <w:rsid w:val="68C37A4C"/>
    <w:rsid w:val="68D235FE"/>
    <w:rsid w:val="68D260FB"/>
    <w:rsid w:val="68D518B5"/>
    <w:rsid w:val="68E63806"/>
    <w:rsid w:val="68E72129"/>
    <w:rsid w:val="68EA37EC"/>
    <w:rsid w:val="68EA645A"/>
    <w:rsid w:val="68ED37B2"/>
    <w:rsid w:val="68FB5420"/>
    <w:rsid w:val="691849F4"/>
    <w:rsid w:val="691B6213"/>
    <w:rsid w:val="6922466B"/>
    <w:rsid w:val="69285448"/>
    <w:rsid w:val="692900CC"/>
    <w:rsid w:val="69323189"/>
    <w:rsid w:val="69341E92"/>
    <w:rsid w:val="693D337E"/>
    <w:rsid w:val="693E13AD"/>
    <w:rsid w:val="693E638A"/>
    <w:rsid w:val="694B27B8"/>
    <w:rsid w:val="694F7819"/>
    <w:rsid w:val="695E54ED"/>
    <w:rsid w:val="6962388B"/>
    <w:rsid w:val="697A2AFC"/>
    <w:rsid w:val="697F5B50"/>
    <w:rsid w:val="698B2BD8"/>
    <w:rsid w:val="698B78B7"/>
    <w:rsid w:val="6996217E"/>
    <w:rsid w:val="6996788E"/>
    <w:rsid w:val="69A119AB"/>
    <w:rsid w:val="69A538F8"/>
    <w:rsid w:val="69C3166A"/>
    <w:rsid w:val="69C50875"/>
    <w:rsid w:val="69CC4411"/>
    <w:rsid w:val="69D30B30"/>
    <w:rsid w:val="69D961A0"/>
    <w:rsid w:val="69E03892"/>
    <w:rsid w:val="69E8633C"/>
    <w:rsid w:val="69E90399"/>
    <w:rsid w:val="69EB4FD2"/>
    <w:rsid w:val="69F0515B"/>
    <w:rsid w:val="69FC1682"/>
    <w:rsid w:val="6A035CA8"/>
    <w:rsid w:val="6A0544F5"/>
    <w:rsid w:val="6A061660"/>
    <w:rsid w:val="6A132C66"/>
    <w:rsid w:val="6A1914B9"/>
    <w:rsid w:val="6A1A53FA"/>
    <w:rsid w:val="6A20510C"/>
    <w:rsid w:val="6A311A71"/>
    <w:rsid w:val="6A3307B3"/>
    <w:rsid w:val="6A335067"/>
    <w:rsid w:val="6A3E22C2"/>
    <w:rsid w:val="6A3F511A"/>
    <w:rsid w:val="6A465F20"/>
    <w:rsid w:val="6A471FCE"/>
    <w:rsid w:val="6A4B4A2B"/>
    <w:rsid w:val="6A57685B"/>
    <w:rsid w:val="6A6324C4"/>
    <w:rsid w:val="6A6C6D6E"/>
    <w:rsid w:val="6A7538BC"/>
    <w:rsid w:val="6A755591"/>
    <w:rsid w:val="6A77387A"/>
    <w:rsid w:val="6A814844"/>
    <w:rsid w:val="6A843854"/>
    <w:rsid w:val="6A862861"/>
    <w:rsid w:val="6A8C3132"/>
    <w:rsid w:val="6AA02E2D"/>
    <w:rsid w:val="6AA0327C"/>
    <w:rsid w:val="6AA477D2"/>
    <w:rsid w:val="6AA87D52"/>
    <w:rsid w:val="6AA96A89"/>
    <w:rsid w:val="6AAB7EE9"/>
    <w:rsid w:val="6AB00D44"/>
    <w:rsid w:val="6AB22BBE"/>
    <w:rsid w:val="6AB96366"/>
    <w:rsid w:val="6ABF0898"/>
    <w:rsid w:val="6ADD0267"/>
    <w:rsid w:val="6AE14D41"/>
    <w:rsid w:val="6AE227EA"/>
    <w:rsid w:val="6AE629D5"/>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2219F"/>
    <w:rsid w:val="6B93030D"/>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87F0D"/>
    <w:rsid w:val="6C092001"/>
    <w:rsid w:val="6C0C2DCA"/>
    <w:rsid w:val="6C0D5970"/>
    <w:rsid w:val="6C12174F"/>
    <w:rsid w:val="6C150BCD"/>
    <w:rsid w:val="6C1B2A09"/>
    <w:rsid w:val="6C1C0FA1"/>
    <w:rsid w:val="6C1E0F32"/>
    <w:rsid w:val="6C206D79"/>
    <w:rsid w:val="6C234E05"/>
    <w:rsid w:val="6C3F4999"/>
    <w:rsid w:val="6C4B02D5"/>
    <w:rsid w:val="6C5531CB"/>
    <w:rsid w:val="6C556884"/>
    <w:rsid w:val="6C6E2596"/>
    <w:rsid w:val="6C6E31B9"/>
    <w:rsid w:val="6C737BE7"/>
    <w:rsid w:val="6C8352A1"/>
    <w:rsid w:val="6C845834"/>
    <w:rsid w:val="6C954253"/>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7754C"/>
    <w:rsid w:val="6D2F46D3"/>
    <w:rsid w:val="6D2F5093"/>
    <w:rsid w:val="6D3B1400"/>
    <w:rsid w:val="6D463B18"/>
    <w:rsid w:val="6D4E2235"/>
    <w:rsid w:val="6D534437"/>
    <w:rsid w:val="6D592DF5"/>
    <w:rsid w:val="6D5D75FD"/>
    <w:rsid w:val="6D603EFA"/>
    <w:rsid w:val="6D6E086A"/>
    <w:rsid w:val="6D6F54D8"/>
    <w:rsid w:val="6D7350DE"/>
    <w:rsid w:val="6D787170"/>
    <w:rsid w:val="6D887B4C"/>
    <w:rsid w:val="6D8E7646"/>
    <w:rsid w:val="6DA6505E"/>
    <w:rsid w:val="6DAE7A4E"/>
    <w:rsid w:val="6DC334BC"/>
    <w:rsid w:val="6DC71D26"/>
    <w:rsid w:val="6DCC5CFC"/>
    <w:rsid w:val="6DD31605"/>
    <w:rsid w:val="6DDC453A"/>
    <w:rsid w:val="6DE26B30"/>
    <w:rsid w:val="6DE7070B"/>
    <w:rsid w:val="6DEB6E3B"/>
    <w:rsid w:val="6DED6E59"/>
    <w:rsid w:val="6DEF60E0"/>
    <w:rsid w:val="6DF40298"/>
    <w:rsid w:val="6E142BE9"/>
    <w:rsid w:val="6E1E7D3B"/>
    <w:rsid w:val="6E23060C"/>
    <w:rsid w:val="6E276AFF"/>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B7529"/>
    <w:rsid w:val="6F3E7C55"/>
    <w:rsid w:val="6F3F526B"/>
    <w:rsid w:val="6F4B5C3C"/>
    <w:rsid w:val="6F4D7CEC"/>
    <w:rsid w:val="6F553C60"/>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26864"/>
    <w:rsid w:val="704E5E43"/>
    <w:rsid w:val="70621DD7"/>
    <w:rsid w:val="70631D34"/>
    <w:rsid w:val="706332B9"/>
    <w:rsid w:val="70641BC0"/>
    <w:rsid w:val="706703D7"/>
    <w:rsid w:val="70762DD8"/>
    <w:rsid w:val="708B124C"/>
    <w:rsid w:val="708C3D0B"/>
    <w:rsid w:val="70947FE1"/>
    <w:rsid w:val="709A286C"/>
    <w:rsid w:val="70B858B0"/>
    <w:rsid w:val="70B87DED"/>
    <w:rsid w:val="70C6118A"/>
    <w:rsid w:val="70C93372"/>
    <w:rsid w:val="70D97DF4"/>
    <w:rsid w:val="70EC2C11"/>
    <w:rsid w:val="70F80B8D"/>
    <w:rsid w:val="70FC3F3D"/>
    <w:rsid w:val="70FE431D"/>
    <w:rsid w:val="710D6398"/>
    <w:rsid w:val="7115292A"/>
    <w:rsid w:val="711557F4"/>
    <w:rsid w:val="711A0AD4"/>
    <w:rsid w:val="711C188C"/>
    <w:rsid w:val="711F63E6"/>
    <w:rsid w:val="71241AED"/>
    <w:rsid w:val="712754A1"/>
    <w:rsid w:val="71403F87"/>
    <w:rsid w:val="7142192B"/>
    <w:rsid w:val="714555EB"/>
    <w:rsid w:val="71577307"/>
    <w:rsid w:val="7158132E"/>
    <w:rsid w:val="7159035A"/>
    <w:rsid w:val="715F4E61"/>
    <w:rsid w:val="716C48EC"/>
    <w:rsid w:val="716C7A2E"/>
    <w:rsid w:val="717C1C6F"/>
    <w:rsid w:val="71865EE1"/>
    <w:rsid w:val="719C00BF"/>
    <w:rsid w:val="71A016E9"/>
    <w:rsid w:val="71A76E0C"/>
    <w:rsid w:val="71AB7B41"/>
    <w:rsid w:val="71AF37D3"/>
    <w:rsid w:val="71B23AFB"/>
    <w:rsid w:val="71B5348F"/>
    <w:rsid w:val="71BA6FE3"/>
    <w:rsid w:val="71C20393"/>
    <w:rsid w:val="71CB3077"/>
    <w:rsid w:val="71CE2444"/>
    <w:rsid w:val="71DB12B6"/>
    <w:rsid w:val="71DF7A6B"/>
    <w:rsid w:val="71EC07D7"/>
    <w:rsid w:val="71FA2A8A"/>
    <w:rsid w:val="72031B2C"/>
    <w:rsid w:val="7233312C"/>
    <w:rsid w:val="7234501E"/>
    <w:rsid w:val="724B584C"/>
    <w:rsid w:val="72574395"/>
    <w:rsid w:val="726C0D10"/>
    <w:rsid w:val="7274230A"/>
    <w:rsid w:val="727E3CC2"/>
    <w:rsid w:val="72817021"/>
    <w:rsid w:val="72842D1E"/>
    <w:rsid w:val="72887463"/>
    <w:rsid w:val="728F0E35"/>
    <w:rsid w:val="728F5394"/>
    <w:rsid w:val="729C1FD2"/>
    <w:rsid w:val="729C6258"/>
    <w:rsid w:val="72A34F16"/>
    <w:rsid w:val="72AB6FAC"/>
    <w:rsid w:val="72B2142A"/>
    <w:rsid w:val="72B3204A"/>
    <w:rsid w:val="72CC1919"/>
    <w:rsid w:val="72D127A6"/>
    <w:rsid w:val="72D3321B"/>
    <w:rsid w:val="72D77449"/>
    <w:rsid w:val="72D85BEB"/>
    <w:rsid w:val="72E008BD"/>
    <w:rsid w:val="72E8649A"/>
    <w:rsid w:val="72ED27F4"/>
    <w:rsid w:val="72EE7FD9"/>
    <w:rsid w:val="72F67747"/>
    <w:rsid w:val="730C7826"/>
    <w:rsid w:val="73117065"/>
    <w:rsid w:val="7314267A"/>
    <w:rsid w:val="73182274"/>
    <w:rsid w:val="7319654B"/>
    <w:rsid w:val="732523F5"/>
    <w:rsid w:val="732F1C8D"/>
    <w:rsid w:val="73364639"/>
    <w:rsid w:val="734125CB"/>
    <w:rsid w:val="734B130D"/>
    <w:rsid w:val="734E0EE2"/>
    <w:rsid w:val="736523BB"/>
    <w:rsid w:val="736809F8"/>
    <w:rsid w:val="73697B74"/>
    <w:rsid w:val="737710AF"/>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43DE2"/>
    <w:rsid w:val="73E83A3D"/>
    <w:rsid w:val="73F21BDB"/>
    <w:rsid w:val="74176EF6"/>
    <w:rsid w:val="742350B6"/>
    <w:rsid w:val="742A11D1"/>
    <w:rsid w:val="743C3A7A"/>
    <w:rsid w:val="74427329"/>
    <w:rsid w:val="74427839"/>
    <w:rsid w:val="744463C7"/>
    <w:rsid w:val="744757B7"/>
    <w:rsid w:val="74553DFB"/>
    <w:rsid w:val="74604094"/>
    <w:rsid w:val="746664E9"/>
    <w:rsid w:val="74696271"/>
    <w:rsid w:val="7482685B"/>
    <w:rsid w:val="74907589"/>
    <w:rsid w:val="74991317"/>
    <w:rsid w:val="74A03689"/>
    <w:rsid w:val="74A126D7"/>
    <w:rsid w:val="74A30951"/>
    <w:rsid w:val="74A7295E"/>
    <w:rsid w:val="74AF393C"/>
    <w:rsid w:val="74AF4BF8"/>
    <w:rsid w:val="74B35CC6"/>
    <w:rsid w:val="74BC6DB1"/>
    <w:rsid w:val="74CE37A5"/>
    <w:rsid w:val="74DF521A"/>
    <w:rsid w:val="74E1547E"/>
    <w:rsid w:val="74EE146D"/>
    <w:rsid w:val="74F521D4"/>
    <w:rsid w:val="74FE005D"/>
    <w:rsid w:val="75023A53"/>
    <w:rsid w:val="750F226F"/>
    <w:rsid w:val="750F5CCB"/>
    <w:rsid w:val="75165BBB"/>
    <w:rsid w:val="75287B15"/>
    <w:rsid w:val="752A1F40"/>
    <w:rsid w:val="752E5D11"/>
    <w:rsid w:val="753310D0"/>
    <w:rsid w:val="75514A76"/>
    <w:rsid w:val="75553FA2"/>
    <w:rsid w:val="755B7980"/>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056DA"/>
    <w:rsid w:val="75BA02A4"/>
    <w:rsid w:val="75BA6BDA"/>
    <w:rsid w:val="75BE2692"/>
    <w:rsid w:val="75C230BF"/>
    <w:rsid w:val="75D50920"/>
    <w:rsid w:val="75D8503B"/>
    <w:rsid w:val="75E03B71"/>
    <w:rsid w:val="75E37AAF"/>
    <w:rsid w:val="75EB6D92"/>
    <w:rsid w:val="75EF31E6"/>
    <w:rsid w:val="75F677E5"/>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02548"/>
    <w:rsid w:val="76766B3F"/>
    <w:rsid w:val="767773B4"/>
    <w:rsid w:val="767A1CD9"/>
    <w:rsid w:val="767D0208"/>
    <w:rsid w:val="76857C6C"/>
    <w:rsid w:val="76866560"/>
    <w:rsid w:val="76913551"/>
    <w:rsid w:val="769A0F13"/>
    <w:rsid w:val="76A4284E"/>
    <w:rsid w:val="76A678EC"/>
    <w:rsid w:val="76A97E5E"/>
    <w:rsid w:val="76B17406"/>
    <w:rsid w:val="76B23553"/>
    <w:rsid w:val="76B60620"/>
    <w:rsid w:val="76CD4AE8"/>
    <w:rsid w:val="76D67DE6"/>
    <w:rsid w:val="76DD3F44"/>
    <w:rsid w:val="76DD5C3A"/>
    <w:rsid w:val="76E81B42"/>
    <w:rsid w:val="76E92953"/>
    <w:rsid w:val="76ED44D7"/>
    <w:rsid w:val="76FC7FF9"/>
    <w:rsid w:val="7709123D"/>
    <w:rsid w:val="77105820"/>
    <w:rsid w:val="77151D39"/>
    <w:rsid w:val="77167B77"/>
    <w:rsid w:val="7719203E"/>
    <w:rsid w:val="77240127"/>
    <w:rsid w:val="7725153A"/>
    <w:rsid w:val="772D1908"/>
    <w:rsid w:val="772E6F47"/>
    <w:rsid w:val="773F48D1"/>
    <w:rsid w:val="77435D79"/>
    <w:rsid w:val="77435F63"/>
    <w:rsid w:val="774E210F"/>
    <w:rsid w:val="775526CF"/>
    <w:rsid w:val="77616301"/>
    <w:rsid w:val="77721985"/>
    <w:rsid w:val="777B14E3"/>
    <w:rsid w:val="777C2B31"/>
    <w:rsid w:val="77877C8B"/>
    <w:rsid w:val="778874B8"/>
    <w:rsid w:val="77936B1D"/>
    <w:rsid w:val="77A417B3"/>
    <w:rsid w:val="77AA7DD8"/>
    <w:rsid w:val="77B72741"/>
    <w:rsid w:val="77B80E55"/>
    <w:rsid w:val="77C30E5B"/>
    <w:rsid w:val="77CA5C64"/>
    <w:rsid w:val="77CB2A47"/>
    <w:rsid w:val="77E34AF5"/>
    <w:rsid w:val="77E41BA9"/>
    <w:rsid w:val="77E77BDD"/>
    <w:rsid w:val="77E80ABA"/>
    <w:rsid w:val="77EB4D44"/>
    <w:rsid w:val="78013054"/>
    <w:rsid w:val="781538E9"/>
    <w:rsid w:val="78242195"/>
    <w:rsid w:val="782C5E74"/>
    <w:rsid w:val="78307F43"/>
    <w:rsid w:val="783637F6"/>
    <w:rsid w:val="7850367D"/>
    <w:rsid w:val="785A739B"/>
    <w:rsid w:val="785B3F44"/>
    <w:rsid w:val="785F34C9"/>
    <w:rsid w:val="786634F8"/>
    <w:rsid w:val="788141F5"/>
    <w:rsid w:val="78925939"/>
    <w:rsid w:val="78930BEF"/>
    <w:rsid w:val="7895316F"/>
    <w:rsid w:val="78A10382"/>
    <w:rsid w:val="78A558C5"/>
    <w:rsid w:val="78A831BE"/>
    <w:rsid w:val="78B237B3"/>
    <w:rsid w:val="78B27AD3"/>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933C4"/>
    <w:rsid w:val="794954E7"/>
    <w:rsid w:val="794E3B6F"/>
    <w:rsid w:val="795C363E"/>
    <w:rsid w:val="796C0BBB"/>
    <w:rsid w:val="79755B63"/>
    <w:rsid w:val="79814ABC"/>
    <w:rsid w:val="798472FC"/>
    <w:rsid w:val="79895319"/>
    <w:rsid w:val="799C543E"/>
    <w:rsid w:val="799D4629"/>
    <w:rsid w:val="79A25BD4"/>
    <w:rsid w:val="79B44D2F"/>
    <w:rsid w:val="79B65241"/>
    <w:rsid w:val="79CE711D"/>
    <w:rsid w:val="79D514C9"/>
    <w:rsid w:val="79D8019F"/>
    <w:rsid w:val="79DB4B53"/>
    <w:rsid w:val="79E306C6"/>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9B68AB"/>
    <w:rsid w:val="7AA37423"/>
    <w:rsid w:val="7AA44707"/>
    <w:rsid w:val="7AB025C2"/>
    <w:rsid w:val="7AC13E96"/>
    <w:rsid w:val="7AC47045"/>
    <w:rsid w:val="7AD1570F"/>
    <w:rsid w:val="7AD2081F"/>
    <w:rsid w:val="7AD67B36"/>
    <w:rsid w:val="7ADF3742"/>
    <w:rsid w:val="7AF00D51"/>
    <w:rsid w:val="7AF63415"/>
    <w:rsid w:val="7AF77000"/>
    <w:rsid w:val="7AFB1A3F"/>
    <w:rsid w:val="7AFC4527"/>
    <w:rsid w:val="7B015192"/>
    <w:rsid w:val="7B0D2BFC"/>
    <w:rsid w:val="7B1B4CE2"/>
    <w:rsid w:val="7B2160C1"/>
    <w:rsid w:val="7B290D36"/>
    <w:rsid w:val="7B34666C"/>
    <w:rsid w:val="7B3F72CC"/>
    <w:rsid w:val="7B445511"/>
    <w:rsid w:val="7B4670E3"/>
    <w:rsid w:val="7B4E4352"/>
    <w:rsid w:val="7B541081"/>
    <w:rsid w:val="7B593C54"/>
    <w:rsid w:val="7B5A0F87"/>
    <w:rsid w:val="7B60744C"/>
    <w:rsid w:val="7B6138CB"/>
    <w:rsid w:val="7B6241C8"/>
    <w:rsid w:val="7B674C4F"/>
    <w:rsid w:val="7B6E4EF8"/>
    <w:rsid w:val="7B717874"/>
    <w:rsid w:val="7B730720"/>
    <w:rsid w:val="7B7819B7"/>
    <w:rsid w:val="7B7876F3"/>
    <w:rsid w:val="7B8B538E"/>
    <w:rsid w:val="7B921F8D"/>
    <w:rsid w:val="7B962430"/>
    <w:rsid w:val="7B995B38"/>
    <w:rsid w:val="7B9E20EF"/>
    <w:rsid w:val="7BAD0F2D"/>
    <w:rsid w:val="7BB57590"/>
    <w:rsid w:val="7BBC28FD"/>
    <w:rsid w:val="7BC06DFD"/>
    <w:rsid w:val="7BC5786F"/>
    <w:rsid w:val="7BCE786C"/>
    <w:rsid w:val="7BCF5BC8"/>
    <w:rsid w:val="7BD07585"/>
    <w:rsid w:val="7BD642B9"/>
    <w:rsid w:val="7BE04E20"/>
    <w:rsid w:val="7BE17CD5"/>
    <w:rsid w:val="7C0206AA"/>
    <w:rsid w:val="7C065A98"/>
    <w:rsid w:val="7C0D3A8F"/>
    <w:rsid w:val="7C0E7B67"/>
    <w:rsid w:val="7C277D92"/>
    <w:rsid w:val="7C2A600D"/>
    <w:rsid w:val="7C4B264B"/>
    <w:rsid w:val="7C4D4C96"/>
    <w:rsid w:val="7C4E51CB"/>
    <w:rsid w:val="7C6F75D4"/>
    <w:rsid w:val="7C727A7A"/>
    <w:rsid w:val="7C787B60"/>
    <w:rsid w:val="7C801571"/>
    <w:rsid w:val="7C83010A"/>
    <w:rsid w:val="7C830218"/>
    <w:rsid w:val="7C9531DA"/>
    <w:rsid w:val="7C974E39"/>
    <w:rsid w:val="7CCA7AE0"/>
    <w:rsid w:val="7CCC199E"/>
    <w:rsid w:val="7CD17CD4"/>
    <w:rsid w:val="7CD4291C"/>
    <w:rsid w:val="7CD74A64"/>
    <w:rsid w:val="7CE3773C"/>
    <w:rsid w:val="7CEA70E4"/>
    <w:rsid w:val="7D035D07"/>
    <w:rsid w:val="7D0F7096"/>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D168A0"/>
    <w:rsid w:val="7EE54116"/>
    <w:rsid w:val="7EE61BF4"/>
    <w:rsid w:val="7EE654CD"/>
    <w:rsid w:val="7EF2534C"/>
    <w:rsid w:val="7EF83AB8"/>
    <w:rsid w:val="7F0851F0"/>
    <w:rsid w:val="7F091D33"/>
    <w:rsid w:val="7F0D41AA"/>
    <w:rsid w:val="7F107326"/>
    <w:rsid w:val="7F296BCA"/>
    <w:rsid w:val="7F301326"/>
    <w:rsid w:val="7F342F18"/>
    <w:rsid w:val="7F3A3A2C"/>
    <w:rsid w:val="7F3F51FC"/>
    <w:rsid w:val="7F444409"/>
    <w:rsid w:val="7F46642B"/>
    <w:rsid w:val="7F4F5B52"/>
    <w:rsid w:val="7F5A4526"/>
    <w:rsid w:val="7F687370"/>
    <w:rsid w:val="7F7149DB"/>
    <w:rsid w:val="7F8165E4"/>
    <w:rsid w:val="7F841C68"/>
    <w:rsid w:val="7F8B125A"/>
    <w:rsid w:val="7FA13216"/>
    <w:rsid w:val="7FA13CA3"/>
    <w:rsid w:val="7FA274A3"/>
    <w:rsid w:val="7FAA59E2"/>
    <w:rsid w:val="7FB15332"/>
    <w:rsid w:val="7FB725BE"/>
    <w:rsid w:val="7FBB7BA3"/>
    <w:rsid w:val="7FC35992"/>
    <w:rsid w:val="7FC659DC"/>
    <w:rsid w:val="7FCF6407"/>
    <w:rsid w:val="7FD2508D"/>
    <w:rsid w:val="7FDF5D95"/>
    <w:rsid w:val="7FE763FA"/>
    <w:rsid w:val="7FE905BF"/>
    <w:rsid w:val="7FEB4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2"/>
    <w:qFormat/>
    <w:uiPriority w:val="0"/>
    <w:pPr>
      <w:keepNext/>
      <w:keepLines/>
      <w:spacing w:line="578" w:lineRule="auto"/>
      <w:outlineLvl w:val="0"/>
    </w:pPr>
    <w:rPr>
      <w:rFonts w:eastAsia="仿宋"/>
      <w:b/>
      <w:bCs/>
      <w:kern w:val="44"/>
      <w:sz w:val="32"/>
      <w:szCs w:val="44"/>
    </w:rPr>
  </w:style>
  <w:style w:type="paragraph" w:styleId="3">
    <w:name w:val="heading 2"/>
    <w:basedOn w:val="1"/>
    <w:next w:val="1"/>
    <w:link w:val="38"/>
    <w:autoRedefine/>
    <w:unhideWhenUsed/>
    <w:qFormat/>
    <w:uiPriority w:val="0"/>
    <w:pPr>
      <w:keepNext/>
      <w:keepLines/>
      <w:snapToGrid w:val="0"/>
      <w:spacing w:line="360" w:lineRule="auto"/>
      <w:ind w:firstLine="640" w:firstLineChars="200"/>
      <w:outlineLvl w:val="1"/>
    </w:pPr>
    <w:rPr>
      <w:rFonts w:ascii="仿宋_GB2312" w:hAnsi="仿宋" w:eastAsia="仿宋_GB2312" w:cstheme="majorBidi"/>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5"/>
    <w:qFormat/>
    <w:uiPriority w:val="0"/>
    <w:rPr>
      <w:rFonts w:ascii="宋体" w:eastAsia="宋体"/>
      <w:sz w:val="18"/>
      <w:szCs w:val="18"/>
    </w:rPr>
  </w:style>
  <w:style w:type="paragraph" w:styleId="5">
    <w:name w:val="annotation text"/>
    <w:basedOn w:val="1"/>
    <w:link w:val="35"/>
    <w:autoRedefine/>
    <w:qFormat/>
    <w:uiPriority w:val="0"/>
    <w:pPr>
      <w:jc w:val="left"/>
    </w:pPr>
  </w:style>
  <w:style w:type="paragraph" w:styleId="6">
    <w:name w:val="toc 3"/>
    <w:basedOn w:val="1"/>
    <w:next w:val="1"/>
    <w:autoRedefine/>
    <w:qFormat/>
    <w:uiPriority w:val="39"/>
    <w:pPr>
      <w:ind w:left="840" w:leftChars="400"/>
    </w:pPr>
  </w:style>
  <w:style w:type="paragraph" w:styleId="7">
    <w:name w:val="Balloon Text"/>
    <w:basedOn w:val="1"/>
    <w:link w:val="31"/>
    <w:autoRedefine/>
    <w:qFormat/>
    <w:uiPriority w:val="0"/>
    <w:rPr>
      <w:sz w:val="18"/>
      <w:szCs w:val="18"/>
    </w:rPr>
  </w:style>
  <w:style w:type="paragraph" w:styleId="8">
    <w:name w:val="footer"/>
    <w:basedOn w:val="1"/>
    <w:link w:val="39"/>
    <w:autoRedefine/>
    <w:qFormat/>
    <w:uiPriority w:val="99"/>
    <w:pPr>
      <w:tabs>
        <w:tab w:val="center" w:pos="4153"/>
        <w:tab w:val="right" w:pos="8306"/>
      </w:tabs>
      <w:snapToGrid w:val="0"/>
    </w:pPr>
    <w:rPr>
      <w:rFonts w:ascii="Times New Roman" w:hAnsi="Times New Roman" w:cs="Times New Roman"/>
      <w:sz w:val="24"/>
      <w:szCs w:val="40"/>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39"/>
    <w:pPr>
      <w:tabs>
        <w:tab w:val="right" w:leader="dot" w:pos="8778"/>
      </w:tabs>
      <w:adjustRightInd w:val="0"/>
    </w:pPr>
  </w:style>
  <w:style w:type="paragraph" w:styleId="11">
    <w:name w:val="footnote text"/>
    <w:basedOn w:val="1"/>
    <w:autoRedefine/>
    <w:qFormat/>
    <w:uiPriority w:val="0"/>
    <w:pPr>
      <w:snapToGrid w:val="0"/>
      <w:jc w:val="left"/>
    </w:pPr>
    <w:rPr>
      <w:sz w:val="18"/>
    </w:rPr>
  </w:style>
  <w:style w:type="paragraph" w:styleId="12">
    <w:name w:val="toc 2"/>
    <w:basedOn w:val="1"/>
    <w:next w:val="1"/>
    <w:autoRedefine/>
    <w:qFormat/>
    <w:uiPriority w:val="39"/>
    <w:pPr>
      <w:tabs>
        <w:tab w:val="right" w:leader="dot" w:pos="8788"/>
      </w:tabs>
      <w:spacing w:line="360" w:lineRule="auto"/>
      <w:ind w:left="420" w:leftChars="200"/>
      <w:jc w:val="distribute"/>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Title"/>
    <w:basedOn w:val="1"/>
    <w:next w:val="1"/>
    <w:link w:val="40"/>
    <w:autoRedefine/>
    <w:qFormat/>
    <w:uiPriority w:val="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5"/>
    <w:next w:val="5"/>
    <w:link w:val="36"/>
    <w:autoRedefine/>
    <w:qFormat/>
    <w:uiPriority w:val="0"/>
    <w:rPr>
      <w:b/>
      <w:bCs/>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character" w:styleId="22">
    <w:name w:val="footnote reference"/>
    <w:basedOn w:val="18"/>
    <w:autoRedefine/>
    <w:qFormat/>
    <w:uiPriority w:val="0"/>
    <w:rPr>
      <w:vertAlign w:val="superscript"/>
    </w:rPr>
  </w:style>
  <w:style w:type="character" w:customStyle="1" w:styleId="23">
    <w:name w:val="font71"/>
    <w:basedOn w:val="18"/>
    <w:autoRedefine/>
    <w:qFormat/>
    <w:uiPriority w:val="0"/>
    <w:rPr>
      <w:rFonts w:hint="eastAsia" w:ascii="仿宋" w:hAnsi="仿宋" w:eastAsia="仿宋" w:cs="仿宋"/>
      <w:b/>
      <w:color w:val="000000"/>
      <w:sz w:val="22"/>
      <w:szCs w:val="22"/>
      <w:u w:val="none"/>
    </w:rPr>
  </w:style>
  <w:style w:type="character" w:customStyle="1" w:styleId="24">
    <w:name w:val="font61"/>
    <w:basedOn w:val="18"/>
    <w:autoRedefine/>
    <w:qFormat/>
    <w:uiPriority w:val="0"/>
    <w:rPr>
      <w:rFonts w:hint="default" w:ascii="Times New Roman" w:hAnsi="Times New Roman" w:cs="Times New Roman"/>
      <w:b/>
      <w:color w:val="000000"/>
      <w:sz w:val="22"/>
      <w:szCs w:val="22"/>
      <w:u w:val="none"/>
    </w:rPr>
  </w:style>
  <w:style w:type="character" w:customStyle="1" w:styleId="25">
    <w:name w:val="font11"/>
    <w:basedOn w:val="18"/>
    <w:autoRedefine/>
    <w:qFormat/>
    <w:uiPriority w:val="0"/>
    <w:rPr>
      <w:rFonts w:hint="eastAsia" w:ascii="仿宋" w:hAnsi="仿宋" w:eastAsia="仿宋" w:cs="仿宋"/>
      <w:b/>
      <w:color w:val="000000"/>
      <w:sz w:val="22"/>
      <w:szCs w:val="22"/>
      <w:u w:val="none"/>
    </w:rPr>
  </w:style>
  <w:style w:type="character" w:customStyle="1" w:styleId="26">
    <w:name w:val="font21"/>
    <w:basedOn w:val="18"/>
    <w:autoRedefine/>
    <w:qFormat/>
    <w:uiPriority w:val="0"/>
    <w:rPr>
      <w:rFonts w:hint="default" w:ascii="Times New Roman" w:hAnsi="Times New Roman" w:cs="Times New Roman"/>
      <w:b/>
      <w:color w:val="000000"/>
      <w:sz w:val="22"/>
      <w:szCs w:val="22"/>
      <w:u w:val="none"/>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customStyle="1" w:styleId="2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0">
    <w:name w:val="È¡ÀÊ¡ÎÄ¡À¾"/>
    <w:basedOn w:val="1"/>
    <w:autoRedefine/>
    <w:qFormat/>
    <w:uiPriority w:val="0"/>
    <w:pPr>
      <w:widowControl/>
      <w:overflowPunct w:val="0"/>
      <w:autoSpaceDE w:val="0"/>
      <w:autoSpaceDN w:val="0"/>
      <w:adjustRightInd w:val="0"/>
      <w:jc w:val="left"/>
      <w:textAlignment w:val="baseline"/>
    </w:pPr>
    <w:rPr>
      <w:kern w:val="0"/>
      <w:sz w:val="24"/>
    </w:rPr>
  </w:style>
  <w:style w:type="character" w:customStyle="1" w:styleId="31">
    <w:name w:val="批注框文本 字符"/>
    <w:basedOn w:val="18"/>
    <w:link w:val="7"/>
    <w:autoRedefine/>
    <w:qFormat/>
    <w:uiPriority w:val="0"/>
    <w:rPr>
      <w:kern w:val="2"/>
      <w:sz w:val="18"/>
      <w:szCs w:val="18"/>
    </w:rPr>
  </w:style>
  <w:style w:type="paragraph" w:styleId="32">
    <w:name w:val="List Paragraph"/>
    <w:basedOn w:val="1"/>
    <w:autoRedefine/>
    <w:unhideWhenUsed/>
    <w:qFormat/>
    <w:uiPriority w:val="34"/>
    <w:pPr>
      <w:ind w:firstLine="420" w:firstLineChars="200"/>
    </w:pPr>
  </w:style>
  <w:style w:type="paragraph" w:customStyle="1" w:styleId="33">
    <w:name w:val="标题1-1"/>
    <w:autoRedefine/>
    <w:qFormat/>
    <w:uiPriority w:val="0"/>
    <w:pPr>
      <w:spacing w:beforeLines="100" w:afterLines="50"/>
      <w:ind w:firstLine="640" w:firstLineChars="200"/>
    </w:pPr>
    <w:rPr>
      <w:rFonts w:ascii="黑体" w:hAnsi="黑体" w:eastAsia="黑体" w:cs="Times New Roman"/>
      <w:sz w:val="28"/>
      <w:lang w:val="en-US" w:eastAsia="zh-CN" w:bidi="ar-SA"/>
    </w:rPr>
  </w:style>
  <w:style w:type="paragraph" w:customStyle="1" w:styleId="34">
    <w:name w:val="正文1-1"/>
    <w:autoRedefine/>
    <w:qFormat/>
    <w:uiPriority w:val="0"/>
    <w:pPr>
      <w:spacing w:line="300" w:lineRule="auto"/>
      <w:ind w:firstLine="640" w:firstLineChars="200"/>
    </w:pPr>
    <w:rPr>
      <w:rFonts w:ascii="Times New Roman" w:hAnsi="Times New Roman" w:eastAsia="宋体" w:cs="Times New Roman"/>
      <w:sz w:val="21"/>
      <w:lang w:val="en-US" w:eastAsia="zh-CN" w:bidi="ar-SA"/>
    </w:rPr>
  </w:style>
  <w:style w:type="character" w:customStyle="1" w:styleId="35">
    <w:name w:val="批注文字 字符"/>
    <w:basedOn w:val="18"/>
    <w:link w:val="5"/>
    <w:autoRedefine/>
    <w:qFormat/>
    <w:uiPriority w:val="0"/>
    <w:rPr>
      <w:rFonts w:asciiTheme="minorHAnsi" w:hAnsiTheme="minorHAnsi" w:eastAsiaTheme="minorEastAsia" w:cstheme="minorBidi"/>
      <w:kern w:val="2"/>
      <w:sz w:val="21"/>
      <w:szCs w:val="24"/>
    </w:rPr>
  </w:style>
  <w:style w:type="character" w:customStyle="1" w:styleId="36">
    <w:name w:val="批注主题 字符"/>
    <w:basedOn w:val="35"/>
    <w:link w:val="15"/>
    <w:autoRedefine/>
    <w:qFormat/>
    <w:uiPriority w:val="0"/>
    <w:rPr>
      <w:rFonts w:asciiTheme="minorHAnsi" w:hAnsiTheme="minorHAnsi" w:eastAsiaTheme="minorEastAsia" w:cstheme="minorBidi"/>
      <w:b/>
      <w:bCs/>
      <w:kern w:val="2"/>
      <w:sz w:val="21"/>
      <w:szCs w:val="24"/>
    </w:rPr>
  </w:style>
  <w:style w:type="character" w:customStyle="1" w:styleId="37">
    <w:name w:val="标题 1 Char"/>
    <w:basedOn w:val="18"/>
    <w:autoRedefine/>
    <w:qFormat/>
    <w:uiPriority w:val="0"/>
    <w:rPr>
      <w:rFonts w:eastAsia="黑体" w:asciiTheme="minorHAnsi" w:hAnsiTheme="minorHAnsi" w:cstheme="minorBidi"/>
      <w:b/>
      <w:bCs/>
      <w:kern w:val="44"/>
      <w:sz w:val="32"/>
      <w:szCs w:val="44"/>
    </w:rPr>
  </w:style>
  <w:style w:type="character" w:customStyle="1" w:styleId="38">
    <w:name w:val="标题 2 字符"/>
    <w:basedOn w:val="18"/>
    <w:link w:val="3"/>
    <w:autoRedefine/>
    <w:qFormat/>
    <w:uiPriority w:val="0"/>
    <w:rPr>
      <w:rFonts w:ascii="仿宋_GB2312" w:hAnsi="仿宋" w:eastAsia="仿宋_GB2312" w:cstheme="majorBidi"/>
      <w:bCs/>
      <w:kern w:val="2"/>
      <w:sz w:val="32"/>
      <w:szCs w:val="32"/>
    </w:rPr>
  </w:style>
  <w:style w:type="character" w:customStyle="1" w:styleId="39">
    <w:name w:val="页脚 字符"/>
    <w:basedOn w:val="18"/>
    <w:link w:val="8"/>
    <w:autoRedefine/>
    <w:qFormat/>
    <w:uiPriority w:val="99"/>
    <w:rPr>
      <w:rFonts w:eastAsiaTheme="minorEastAsia"/>
      <w:kern w:val="2"/>
      <w:sz w:val="24"/>
      <w:szCs w:val="40"/>
    </w:rPr>
  </w:style>
  <w:style w:type="character" w:customStyle="1" w:styleId="40">
    <w:name w:val="标题 字符"/>
    <w:basedOn w:val="18"/>
    <w:link w:val="14"/>
    <w:autoRedefine/>
    <w:qFormat/>
    <w:uiPriority w:val="0"/>
    <w:rPr>
      <w:rFonts w:asciiTheme="majorHAnsi" w:hAnsiTheme="majorHAnsi" w:cstheme="majorBidi"/>
      <w:b/>
      <w:bCs/>
      <w:kern w:val="2"/>
      <w:sz w:val="32"/>
      <w:szCs w:val="32"/>
    </w:rPr>
  </w:style>
  <w:style w:type="paragraph" w:customStyle="1" w:styleId="4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2">
    <w:name w:val="标题 1 字符"/>
    <w:basedOn w:val="18"/>
    <w:link w:val="2"/>
    <w:autoRedefine/>
    <w:qFormat/>
    <w:uiPriority w:val="0"/>
    <w:rPr>
      <w:rFonts w:eastAsia="仿宋" w:asciiTheme="minorHAnsi" w:hAnsiTheme="minorHAnsi" w:cstheme="minorBidi"/>
      <w:b/>
      <w:bCs/>
      <w:kern w:val="44"/>
      <w:sz w:val="32"/>
      <w:szCs w:val="44"/>
    </w:rPr>
  </w:style>
  <w:style w:type="paragraph" w:customStyle="1" w:styleId="43">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44">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5">
    <w:name w:val="文档结构图 字符"/>
    <w:basedOn w:val="18"/>
    <w:link w:val="4"/>
    <w:qFormat/>
    <w:uiPriority w:val="0"/>
    <w:rPr>
      <w:rFonts w:ascii="宋体" w:hAnsiTheme="minorHAnsi" w:cstheme="minorBidi"/>
      <w:kern w:val="2"/>
      <w:sz w:val="18"/>
      <w:szCs w:val="18"/>
    </w:rPr>
  </w:style>
  <w:style w:type="paragraph" w:customStyle="1" w:styleId="4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A0AC7-1AB1-4CF9-B093-9488F4D64B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3737</Words>
  <Characters>3835</Characters>
  <Lines>33</Lines>
  <Paragraphs>9</Paragraphs>
  <TotalTime>38</TotalTime>
  <ScaleCrop>false</ScaleCrop>
  <LinksUpToDate>false</LinksUpToDate>
  <CharactersWithSpaces>3873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2026-03-20T05:53:00Z</dcterms:created>
  <dc:creator>Administrator</dc:creator>
  <cp:lastModifiedBy>广州汉智</cp:lastModifiedBy>
  <cp:lastPrinted>2026-03-23T02:17:00Z</cp:lastPrinted>
  <dcterms:modified xsi:type="dcterms:W3CDTF">2026-04-16T03:12:48Z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88487E9B448440159BF93607AADEF8D9_13</vt:lpwstr>
  </property>
</Properties>
</file>