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9" w:lineRule="exact"/>
        <w:jc w:val="both"/>
        <w:rPr>
          <w:rFonts w:hint="eastAsia" w:ascii="黑体" w:hAnsi="黑体" w:eastAsia="黑体" w:cs="Arial Unicode MS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 Unicode MS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Arial Unicode MS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429" w:lineRule="exact"/>
        <w:jc w:val="both"/>
        <w:rPr>
          <w:rFonts w:hint="default" w:ascii="黑体" w:hAnsi="黑体" w:eastAsia="黑体" w:cs="Arial Unicode MS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429" w:lineRule="exact"/>
        <w:jc w:val="center"/>
        <w:rPr>
          <w:rFonts w:ascii="黑体" w:hAnsi="黑体" w:eastAsia="黑体" w:cs="Times New Roman"/>
          <w:kern w:val="0"/>
          <w:sz w:val="20"/>
          <w:szCs w:val="20"/>
        </w:rPr>
      </w:pPr>
      <w:r>
        <w:rPr>
          <w:rFonts w:ascii="黑体" w:hAnsi="黑体" w:eastAsia="黑体" w:cs="Arial Unicode MS"/>
          <w:kern w:val="0"/>
          <w:sz w:val="32"/>
          <w:szCs w:val="32"/>
        </w:rPr>
        <w:t xml:space="preserve">《保健食品原料目录 </w:t>
      </w:r>
      <w:r>
        <w:rPr>
          <w:rFonts w:hint="eastAsia" w:ascii="黑体" w:hAnsi="黑体" w:eastAsia="黑体" w:cs="Arial Unicode MS"/>
          <w:kern w:val="0"/>
          <w:sz w:val="32"/>
          <w:szCs w:val="32"/>
        </w:rPr>
        <w:t>灵芝</w:t>
      </w:r>
      <w:r>
        <w:rPr>
          <w:rFonts w:hint="eastAsia" w:ascii="黑体" w:hAnsi="黑体" w:eastAsia="黑体" w:cs="Arial Unicode MS"/>
          <w:kern w:val="0"/>
          <w:sz w:val="32"/>
          <w:szCs w:val="32"/>
          <w:lang w:eastAsia="zh-CN"/>
        </w:rPr>
        <w:t>（征求意见稿）</w:t>
      </w:r>
      <w:r>
        <w:rPr>
          <w:rFonts w:ascii="黑体" w:hAnsi="黑体" w:eastAsia="黑体" w:cs="Arial Unicode MS"/>
          <w:kern w:val="0"/>
          <w:sz w:val="32"/>
          <w:szCs w:val="32"/>
        </w:rPr>
        <w:t>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2409"/>
        <w:gridCol w:w="2410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原料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0489" w:type="dxa"/>
            <w:gridSpan w:val="4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每日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用量</w:t>
            </w:r>
          </w:p>
        </w:tc>
        <w:tc>
          <w:tcPr>
            <w:tcW w:w="1843" w:type="dxa"/>
            <w:vMerge w:val="restart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用量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范围</w:t>
            </w: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适宜人群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不适宜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群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1843" w:type="dxa"/>
            <w:vMerge w:val="continue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灵芝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4-6g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免疫力低下者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少年儿童、孕妇、乳母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增强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免疫力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kern w:val="0"/>
          <w:sz w:val="22"/>
          <w:szCs w:val="22"/>
        </w:rPr>
        <w:br w:type="page"/>
      </w:r>
    </w:p>
    <w:p>
      <w:pPr>
        <w:widowControl/>
        <w:spacing w:line="118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>
      <w:pPr>
        <w:widowControl/>
        <w:spacing w:line="429" w:lineRule="exact"/>
        <w:ind w:firstLine="3200" w:firstLineChars="1000"/>
        <w:jc w:val="left"/>
        <w:rPr>
          <w:rFonts w:ascii="Times New Roman" w:hAnsi="Times New Roman" w:eastAsia="方正小标宋简体" w:cs="方正小标宋简体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Cs/>
          <w:kern w:val="2"/>
          <w:sz w:val="32"/>
          <w:szCs w:val="32"/>
        </w:rPr>
        <w:t>灵芝</w:t>
      </w:r>
      <w:r>
        <w:rPr>
          <w:rFonts w:ascii="Times New Roman" w:hAnsi="Times New Roman" w:eastAsia="方正小标宋简体" w:cs="方正小标宋简体"/>
          <w:bCs/>
          <w:kern w:val="2"/>
          <w:sz w:val="32"/>
          <w:szCs w:val="32"/>
        </w:rPr>
        <w:t>原料技术要求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【来源】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多孔菌科真菌赤芝（Ganoderma lucidum (Leyss. ex Fr.) Karst.）、紫芝（Ganoderma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sinense Zhao, Xu et Zhang）的干燥子实体。除去杂质，剪除附有朽木、泥沙或培养基质的下端菌柄，阴干或 40~50℃烘干而得。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</w:t>
      </w:r>
      <w:r>
        <w:rPr>
          <w:rFonts w:ascii="Times New Roman" w:hAnsi="Times New Roman" w:cs="Times New Roman"/>
          <w:kern w:val="2"/>
          <w:sz w:val="21"/>
          <w:szCs w:val="24"/>
        </w:rPr>
        <w:t>感官要求】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应符合表 1 规定。</w:t>
      </w:r>
    </w:p>
    <w:p>
      <w:pPr>
        <w:widowControl w:val="0"/>
        <w:spacing w:line="360" w:lineRule="auto"/>
        <w:ind w:firstLine="420" w:firstLineChars="200"/>
        <w:jc w:val="center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表 1 感官指标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项目</w:t>
            </w:r>
          </w:p>
        </w:tc>
        <w:tc>
          <w:tcPr>
            <w:tcW w:w="6456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色泽</w:t>
            </w:r>
          </w:p>
        </w:tc>
        <w:tc>
          <w:tcPr>
            <w:tcW w:w="6456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全体表面呈浅黄褐色或黄白色。断面浅黄白色。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滋味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、气味</w:t>
            </w:r>
          </w:p>
        </w:tc>
        <w:tc>
          <w:tcPr>
            <w:tcW w:w="6456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气微而特异，味微苦、甘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状态</w:t>
            </w:r>
          </w:p>
        </w:tc>
        <w:tc>
          <w:tcPr>
            <w:tcW w:w="6456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赤芝：外形呈伞状，菌盖肾形、半圆形或近圆形，直径 10～18cm，厚1～2cm。皮壳坚硬，黄褐色至红褐色，有光泽，具环状棱纹和辐射状皱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纹，边缘薄而平截，常稍内卷。菌肉白色至淡棕色。菌柄圆柱形，侧生，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少偏生，长 7～15cm，直径 1～3.5cm，红褐色至紫褐色，光亮。孢子细小，黄褐色。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紫芝：皮壳紫黑色，有漆样光泽。菌肉锈褐色。菌柄长 17～23cm。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栽培品 子实体较粗壮、肥厚，直径 12～22cm，厚 1.5～4cm。皮壳外常被有大量粉尘样的黄褐色孢子。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【鉴别】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本品粉末浅棕色、棕褐色至紫褐色。菌丝散在或粘结成团，无色或淡棕色，细长，稍弯曲，有分枝，直径 2.5～6.5 μm。孢子褐色，卵形，顶端平截，外壁无色，内壁有疣状突起，长 8～12 μm，宽 5～8 μm。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取本品粉末 2 g，加乙醇 30 mL，加热回流 30 min，滤过，滤液蒸干，残渣加甲醇2 mL 使溶解，作为供试品溶液。另取灵芝子实体对照药材 2 g，同法制成对照药材溶液。照薄层色谱法（通则 0502）试验，吸取上述两种溶液各 4 μl，分别点于同一硅胶 G 薄层板上，以石油醚（60～90℃）-甲酸乙酯-甲酸（15:5:1）的上层溶液为展开剂，展开，取出，晾干，置紫外光灯（365 nm）下检视。供试品色谱中，在与对照药材色谱相应的位置上，显相同颜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色的荧光斑点。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3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取本品粉末 1 g，加水 50 mL，加热回流 1 小时，趁热滤过，滤液置蒸发皿中，用少量水分次洗涤容器，合并洗液并入蒸发皿中，置水浴上蒸干，残渣用水 5 mL 溶解，置 50 mL 离心管中，缓缓加入乙醇 25 mL，不断搅拌，静置 1 h，离心（转速为每分钟 4000 转），取沉淀物，用乙醇 10 mL 洗涤，离心，取沉淀物，烘干，放冷，加 4 mol/L 三氟乙酸溶液 2 mL，置 10 mL 安瓿瓶或顶空瓶中，封口，混匀，在 120℃水解 3 h，放冷，水解液转移至 50 mL 烧瓶中，用 2 mL 水洗涤容器，洗涤液并入烧瓶中，60℃减压蒸干，用 70%乙醇 2 mL 溶解，置离心管中，离心，取上清液作为供试品溶液。另取半乳糖对照品、葡萄糖对照品、甘露糖对照品和木糖对照品适量，精密称定，加 70%乙醇制成每 1 mL 各含 0.1 mg 的混合溶液，作为对照品溶液。照薄层色谱法（通则 0502）试验，吸取上述两种溶液各 3 μl，分别点于同一高效硅胶 G 薄层板上，以正丁醇-丙酮-水（5:1:1）为展开剂，展开，取出，晾干，喷以对氨基苯甲酸溶液（取 4-氨基苯甲酸 0.5g，溶于冰醋酸 9 mL 中，加水 10 mL 和 85%磷酸溶液 0.5 mL，混匀），在 105℃加热约 10 分钟，置紫外光灯（365 nm）下检视。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【理化指标】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应符合表 2 规定。</w:t>
      </w:r>
    </w:p>
    <w:p>
      <w:pPr>
        <w:widowControl w:val="0"/>
        <w:spacing w:line="360" w:lineRule="auto"/>
        <w:ind w:firstLine="390"/>
        <w:jc w:val="center"/>
        <w:rPr>
          <w:rFonts w:ascii="Times New Roman" w:hAnsi="Times New Roman" w:eastAsia="宋体" w:cs="Times New Roman"/>
          <w:color w:val="000000"/>
          <w:spacing w:val="-4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pacing w:val="-4"/>
          <w:kern w:val="2"/>
          <w:sz w:val="21"/>
          <w:szCs w:val="24"/>
        </w:rPr>
        <w:t>表2 理化指标</w:t>
      </w:r>
    </w:p>
    <w:tbl>
      <w:tblPr>
        <w:tblStyle w:val="3"/>
        <w:tblW w:w="8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984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水分，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17.0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灰分，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3.2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铅（以Pb计），mg/kg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GB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总砷（以As计），mg/kg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0.5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GB5009.11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总汞（以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Hg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mg/kg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0.1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镉（以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mg/kg            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0.2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5009.15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【农药</w:t>
      </w:r>
      <w:r>
        <w:rPr>
          <w:rFonts w:ascii="Times New Roman" w:hAnsi="Times New Roman" w:cs="Times New Roman"/>
          <w:kern w:val="2"/>
          <w:sz w:val="21"/>
          <w:szCs w:val="24"/>
        </w:rPr>
        <w:t>残留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应符合表</w:t>
      </w:r>
      <w:r>
        <w:rPr>
          <w:rFonts w:ascii="Times New Roman" w:hAnsi="Times New Roman" w:cs="Times New Roman"/>
          <w:kern w:val="2"/>
          <w:sz w:val="21"/>
          <w:szCs w:val="24"/>
        </w:rPr>
        <w:t>3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规定。</w:t>
      </w:r>
    </w:p>
    <w:p>
      <w:pPr>
        <w:widowControl w:val="0"/>
        <w:spacing w:line="360" w:lineRule="auto"/>
        <w:jc w:val="center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表3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农药残留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816"/>
        <w:gridCol w:w="1211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农药名称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残留物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最大残留量mg/kg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丁硫克百威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丁硫克百威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0.01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 23200.13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乐果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乐果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0.01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 23200.113、GB 23200.116、GB/T 5009.145、GB/T 20769、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硫丹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α-硫丹和β-硫丹及硫丹硫酸酯之和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0.05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GB/T5009.19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杀扑磷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杀扑磷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0.05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 23200.8、GB 23200.113、GB 23200.116、GB/T 4553、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乙酰甲胺磷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乙酰甲胺磷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0.05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 23200.113、GB 23200.116、GB/T 5009.103、GB/T 5009.145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特丁硫磷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特丁硫磷及其氧类似物（亚砜、砜）之和，以特丁硫磷表示。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0.01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SN/T 4591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三氯沙螨醇</w:t>
            </w:r>
          </w:p>
        </w:tc>
        <w:tc>
          <w:tcPr>
            <w:tcW w:w="2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三氯沙螨醇（o，p'-异构体和p,p'-异构体之和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0.01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 23200.110、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shd w:val="clear" w:color="auto" w:fill="FFFFFF"/>
              </w:rPr>
              <w:t>GB/T 5009.176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【标志性成分</w:t>
      </w:r>
      <w:r>
        <w:rPr>
          <w:rFonts w:ascii="Times New Roman" w:hAnsi="Times New Roman" w:cs="Times New Roman"/>
          <w:kern w:val="2"/>
          <w:sz w:val="21"/>
          <w:szCs w:val="24"/>
        </w:rPr>
        <w:t>指标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应符合表</w:t>
      </w:r>
      <w:r>
        <w:rPr>
          <w:rFonts w:ascii="Times New Roman" w:hAnsi="Times New Roman" w:cs="Times New Roman"/>
          <w:kern w:val="2"/>
          <w:sz w:val="21"/>
          <w:szCs w:val="24"/>
        </w:rPr>
        <w:t>4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规定。</w:t>
      </w:r>
    </w:p>
    <w:p>
      <w:pPr>
        <w:widowControl w:val="0"/>
        <w:spacing w:line="360" w:lineRule="auto"/>
        <w:jc w:val="center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表4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标志性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成分指标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685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项目</w:t>
            </w:r>
          </w:p>
        </w:tc>
        <w:tc>
          <w:tcPr>
            <w:tcW w:w="3685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指标</w:t>
            </w:r>
          </w:p>
        </w:tc>
        <w:tc>
          <w:tcPr>
            <w:tcW w:w="2495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多糖，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 xml:space="preserve">%        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≥</w:t>
            </w:r>
          </w:p>
        </w:tc>
        <w:tc>
          <w:tcPr>
            <w:tcW w:w="3685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0.90（以无水葡萄糖（C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vertAlign w:val="subscript"/>
              </w:rPr>
              <w:t>6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H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vertAlign w:val="subscript"/>
              </w:rPr>
              <w:t>12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O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vertAlign w:val="subscript"/>
              </w:rPr>
              <w:t>6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）计）</w:t>
            </w:r>
          </w:p>
        </w:tc>
        <w:tc>
          <w:tcPr>
            <w:tcW w:w="2495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1 多糖的测定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三萜及甾醇，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 xml:space="preserve">%  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≥</w:t>
            </w:r>
          </w:p>
        </w:tc>
        <w:tc>
          <w:tcPr>
            <w:tcW w:w="3685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0.50 (以齐墩果酸（C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vertAlign w:val="subscript"/>
              </w:rPr>
              <w:t>30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H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vertAlign w:val="subscript"/>
              </w:rPr>
              <w:t>48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O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）计)</w:t>
            </w:r>
          </w:p>
        </w:tc>
        <w:tc>
          <w:tcPr>
            <w:tcW w:w="249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2 三萜及甾醇的测定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 多糖</w:t>
      </w:r>
      <w:r>
        <w:rPr>
          <w:rFonts w:ascii="Times New Roman" w:hAnsi="Times New Roman" w:cs="Times New Roman"/>
          <w:kern w:val="2"/>
          <w:sz w:val="21"/>
          <w:szCs w:val="24"/>
        </w:rPr>
        <w:t>的测定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1.1 仪器</w:t>
      </w:r>
      <w:r>
        <w:rPr>
          <w:rFonts w:ascii="Times New Roman" w:hAnsi="Times New Roman" w:cs="Times New Roman"/>
          <w:kern w:val="2"/>
          <w:sz w:val="21"/>
          <w:szCs w:val="24"/>
        </w:rPr>
        <w:t>与设备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</w:t>
      </w:r>
      <w:r>
        <w:rPr>
          <w:rFonts w:ascii="Times New Roman" w:hAnsi="Times New Roman" w:cs="Times New Roman"/>
          <w:kern w:val="2"/>
          <w:sz w:val="21"/>
          <w:szCs w:val="24"/>
        </w:rPr>
        <w:t>.1.1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电子分析天平：精度 0.1 mg。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.2 紫外可见</w:t>
      </w:r>
      <w:r>
        <w:rPr>
          <w:rFonts w:ascii="Times New Roman" w:hAnsi="Times New Roman" w:cs="Times New Roman"/>
          <w:kern w:val="2"/>
          <w:sz w:val="21"/>
          <w:szCs w:val="24"/>
        </w:rPr>
        <w:t>分光光度计：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±2nm。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.3 电热恒温水浴锅：±0.5 ℃。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.4 离心机：（0</w:t>
      </w:r>
      <w:r>
        <w:rPr>
          <w:rFonts w:ascii="Times New Roman" w:hAnsi="Times New Roman" w:cs="Times New Roman"/>
          <w:kern w:val="2"/>
          <w:sz w:val="21"/>
          <w:szCs w:val="24"/>
        </w:rPr>
        <w:t>-4000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）rpm/min。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对照品溶液制备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葡萄糖对照品的配制：准确称取干燥至恒重的葡萄糖对照品适量，精密称定，加水制成每1 mL含0.12 mg的溶液，即得。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硫酸蒽酮溶液的制备(临用现配)：准确称取0.1 g蒽酮置于烧杯中，缓缓加入100 mL硫酸溶解，摇匀，即得。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 xml:space="preserve">1.3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标准曲线</w:t>
      </w:r>
      <w:r>
        <w:rPr>
          <w:rFonts w:ascii="Times New Roman" w:hAnsi="Times New Roman" w:cs="Times New Roman"/>
          <w:kern w:val="2"/>
          <w:sz w:val="21"/>
          <w:szCs w:val="24"/>
        </w:rPr>
        <w:t>的绘制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分别精密量取葡萄糖对照品溶液 0.2 mL、0.4 mL、0.6 mL、0.8 mL、1.0 mL、1.2 mL，分别置于具塞试管中，补充水至 2.0 mL，加入硫酸蒽酮溶液 6 mL，立即摇匀，放置 15 min后，立即置冰浴中冷却 15 min，取出，以相应的试剂为空白，用紫外可见分光光度计在 625nm 波长处测定吸光度。以葡萄糖质量为横坐标，吸光度值为纵坐标，绘制标准曲线。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1.4 样品的处理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取本品粉末约2 g，精密称定，置圆底烧瓶中，加水60 mL静置1小时，加热回流4 h，趁热滤过，用少量热水洗涤滤器和滤渣，将滤渣及滤纸置烧瓶中，加水60 mL，加热回流3 h，趁热滤过，合并滤液，置水浴上蒸干，残渣用水5 mL溶解，边搅拌边缓慢滴加乙醇75 mL，摇匀，在4℃放置12 h，离心，弃去上清液，沉淀物用热水溶解并转移至50 mL量瓶中，放冷，加水至刻度，摇匀，取溶液适量，离心，精密量取上清液3 mL，置25 mL量瓶中，加水至刻度，摇匀，即得。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5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精密量取供试品溶液2 mL，置具塞试管中，照标准曲线制备项下的方法，自“迅速精密加入硫酸蔥酮溶液6 mL”起，同法操作，测定吸光度，从标准曲线上读出供试品溶液中无水葡萄糖的含量，计算，即得。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1.7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结果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                      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drawing>
          <wp:inline distT="0" distB="0" distL="0" distR="0">
            <wp:extent cx="2458085" cy="629285"/>
            <wp:effectExtent l="0" t="0" r="1841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X— 样品中多糖含量（以葡萄糖计），mg/100g；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W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—从标准曲线上查得样品测定液中含粗多糖的质量，mg；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W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—从标准曲线上查得样品空白液中含粗多糖的质量，mg；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M—样品质量，g；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V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—样品沉淀物定容体积，mL；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V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—移取沉淀物溶液量，mL；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V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3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—移取液稀释体积，mL；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100—单位换算系数。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2三萜及甾醇的测定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2.1仪器与设备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2.1</w:t>
      </w:r>
      <w:r>
        <w:rPr>
          <w:rFonts w:ascii="Times New Roman" w:hAnsi="Times New Roman" w:cs="Times New Roman"/>
          <w:kern w:val="2"/>
          <w:sz w:val="21"/>
          <w:szCs w:val="24"/>
        </w:rPr>
        <w:t>.1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电子分析天平：精度0.1 mg。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.2 紫外可见分光光度计：±2 nm。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.3 超声波清洗器：功率≥45 W。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.4 电热恒温水浴锅：±0.5 ℃。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试剂与溶液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高氯酸，分析纯。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.4 冰醋酸，分析纯。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.5 香草醛，分析纯。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.6 乙酸乙酯，分析纯。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2.</w:t>
      </w:r>
      <w:r>
        <w:rPr>
          <w:rFonts w:ascii="Times New Roman" w:hAnsi="Times New Roman" w:cs="Times New Roman"/>
          <w:kern w:val="2"/>
          <w:sz w:val="21"/>
          <w:szCs w:val="24"/>
        </w:rPr>
        <w:t>3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对照品溶液制备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齐墩果酸对照品的配制：取</w:t>
      </w:r>
      <w:r>
        <w:rPr>
          <w:rFonts w:ascii="Times New Roman" w:hAnsi="Times New Roman" w:cs="Times New Roman"/>
          <w:kern w:val="2"/>
          <w:sz w:val="21"/>
          <w:szCs w:val="24"/>
        </w:rPr>
        <w:t>齐墩果酸对照品（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纯度≥98</w:t>
      </w:r>
      <w:r>
        <w:rPr>
          <w:rFonts w:ascii="Times New Roman" w:hAnsi="Times New Roman" w:cs="Times New Roman"/>
          <w:kern w:val="2"/>
          <w:sz w:val="21"/>
          <w:szCs w:val="24"/>
        </w:rPr>
        <w:t>%）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适量，精密称定，加甲醇制成每1 mL含0. 2 mg的溶液，即得。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香草醛冰醋酸溶液（临用现配）：精密称取香草醛0.5 g，加冰醋酸使溶解成10 mL，即得。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2.4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标准曲线的绘制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精密量取对照品溶液0.1、0.2、0.3、0.4、0.5 mL，分别置15 mL具塞试管中，挥干，放冷，精密加入新配制的香草醛冰醋酸溶液0.2 mL，高氯酸0.8 mL，摇匀，在70℃水浴中加热15min，立即置冰浴中冷却5分钟，取出，精密加入乙酸乙酯4 mL，摇匀。用分光光度计于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546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ab/>
      </w:r>
      <w:r>
        <w:rPr>
          <w:rFonts w:hint="eastAsia" w:ascii="Times New Roman" w:hAnsi="Times New Roman" w:cs="Times New Roman"/>
          <w:kern w:val="2"/>
          <w:sz w:val="21"/>
          <w:szCs w:val="24"/>
        </w:rPr>
        <w:t>nm波长处测定吸光度，以吸光度为纵坐标、浓度为横坐标绘制标准曲线。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2.5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样品的处理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取本品粉末约2 g，精密称定，置具塞锥形瓶中，加乙醇50 mL，超声处理（功率140W，频率42kHz）45分钟，滤过，滤液置100 mL量瓶中，用适量乙醇，分次洗涤滤器和滤渣，洗液并入同一量瓶中，加乙醇至刻度，摇匀，即得。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 xml:space="preserve">2.6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样品</w:t>
      </w:r>
      <w:r>
        <w:rPr>
          <w:rFonts w:ascii="Times New Roman" w:hAnsi="Times New Roman" w:cs="Times New Roman"/>
          <w:kern w:val="2"/>
          <w:sz w:val="21"/>
          <w:szCs w:val="24"/>
        </w:rPr>
        <w:t>的测定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精密量取供试品溶液0.2 mL，置15 mL具塞试管中，照标准曲线制备项下的方法，自“挥干”起，同法操作，测定吸光度，从标准曲线上读出供试品溶液中齐墩果酸的含量，计算，即得。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 xml:space="preserve">2.7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结果</w:t>
      </w:r>
    </w:p>
    <w:p>
      <w:pPr>
        <w:widowControl w:val="0"/>
        <w:spacing w:line="360" w:lineRule="auto"/>
        <w:ind w:firstLine="2205" w:firstLineChars="105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drawing>
          <wp:inline distT="0" distB="0" distL="0" distR="0">
            <wp:extent cx="1706245" cy="902970"/>
            <wp:effectExtent l="0" t="0" r="825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jc w:val="left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X— 样品中三萜及甾醇含量（以齐墩果酸计），mg/100g；</w:t>
      </w:r>
    </w:p>
    <w:p>
      <w:pPr>
        <w:widowControl w:val="0"/>
        <w:spacing w:line="360" w:lineRule="auto"/>
        <w:jc w:val="left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W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—从曲线上查得样品测定液中含三萜及甾醇的质量，mg；</w:t>
      </w:r>
    </w:p>
    <w:p>
      <w:pPr>
        <w:widowControl w:val="0"/>
        <w:spacing w:line="360" w:lineRule="auto"/>
        <w:jc w:val="left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W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—从曲线上查得样品空白液中含三萜及甾醇的质量，mg；</w:t>
      </w:r>
    </w:p>
    <w:p>
      <w:pPr>
        <w:widowControl w:val="0"/>
        <w:spacing w:line="360" w:lineRule="auto"/>
        <w:jc w:val="left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M— 样品质量，g；</w:t>
      </w:r>
    </w:p>
    <w:p>
      <w:pPr>
        <w:widowControl w:val="0"/>
        <w:spacing w:line="360" w:lineRule="auto"/>
        <w:jc w:val="left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V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—样品测定液总体积，mL；</w:t>
      </w:r>
    </w:p>
    <w:p>
      <w:pPr>
        <w:widowControl w:val="0"/>
        <w:spacing w:line="360" w:lineRule="auto"/>
        <w:jc w:val="left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V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—比色测定时所移取样品测定液的体积，mL。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【储存】存放于通风、干燥、阴凉的仓库内，严禁与有害、有异味、有腐蚀性的物品混贮，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堆放须隔墙离地。防霉，防蛀。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【产品</w:t>
      </w:r>
      <w:r>
        <w:rPr>
          <w:rFonts w:ascii="Times New Roman" w:hAnsi="Times New Roman" w:cs="Times New Roman"/>
          <w:kern w:val="2"/>
          <w:sz w:val="21"/>
          <w:szCs w:val="24"/>
        </w:rPr>
        <w:t>剂型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及</w:t>
      </w:r>
      <w:r>
        <w:rPr>
          <w:rFonts w:ascii="Times New Roman" w:hAnsi="Times New Roman" w:cs="Times New Roman"/>
          <w:kern w:val="2"/>
          <w:sz w:val="21"/>
          <w:szCs w:val="24"/>
        </w:rPr>
        <w:t>生产工艺要求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】片剂（含片、咀嚼片、口服片）、硬胶囊、软胶囊、粉剂、口服溶液、颗粒剂，茶剂（不含茶叶）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灵芝原料在</w:t>
      </w:r>
      <w:r>
        <w:rPr>
          <w:rFonts w:ascii="Times New Roman" w:hAnsi="Times New Roman" w:cs="Times New Roman"/>
          <w:kern w:val="2"/>
          <w:sz w:val="21"/>
          <w:szCs w:val="24"/>
        </w:rPr>
        <w:t>产品备案时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</w:t>
      </w:r>
      <w:r>
        <w:rPr>
          <w:rFonts w:ascii="Times New Roman" w:hAnsi="Times New Roman" w:cs="Times New Roman"/>
          <w:kern w:val="2"/>
          <w:sz w:val="21"/>
          <w:szCs w:val="24"/>
        </w:rPr>
        <w:t>允许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仅</w:t>
      </w:r>
      <w:r>
        <w:rPr>
          <w:rFonts w:ascii="Times New Roman" w:hAnsi="Times New Roman" w:cs="Times New Roman"/>
          <w:kern w:val="2"/>
          <w:sz w:val="21"/>
          <w:szCs w:val="24"/>
        </w:rPr>
        <w:t>以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物理</w:t>
      </w:r>
      <w:r>
        <w:rPr>
          <w:rFonts w:ascii="Times New Roman" w:hAnsi="Times New Roman" w:cs="Times New Roman"/>
          <w:kern w:val="2"/>
          <w:sz w:val="21"/>
          <w:szCs w:val="24"/>
        </w:rPr>
        <w:t>粉碎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</w:t>
      </w:r>
      <w:r>
        <w:rPr>
          <w:rFonts w:ascii="Times New Roman" w:hAnsi="Times New Roman" w:cs="Times New Roman"/>
          <w:kern w:val="2"/>
          <w:sz w:val="21"/>
          <w:szCs w:val="24"/>
        </w:rPr>
        <w:t>或仅经水提取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，制成</w:t>
      </w:r>
      <w:r>
        <w:rPr>
          <w:rFonts w:ascii="Times New Roman" w:hAnsi="Times New Roman" w:cs="Times New Roman"/>
          <w:kern w:val="2"/>
          <w:sz w:val="21"/>
          <w:szCs w:val="24"/>
        </w:rPr>
        <w:t>产品时不应再有其他引起物质基础发生改变的生产工艺。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灵芝</w:t>
      </w:r>
      <w:r>
        <w:rPr>
          <w:rFonts w:ascii="Times New Roman" w:hAnsi="Times New Roman" w:cs="Times New Roman"/>
          <w:kern w:val="2"/>
          <w:sz w:val="21"/>
          <w:szCs w:val="24"/>
        </w:rPr>
        <w:t>打粉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的</w:t>
      </w:r>
      <w:r>
        <w:rPr>
          <w:rFonts w:ascii="Times New Roman" w:hAnsi="Times New Roman" w:cs="Times New Roman"/>
          <w:kern w:val="2"/>
          <w:sz w:val="21"/>
          <w:szCs w:val="24"/>
        </w:rPr>
        <w:t>主要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参考</w:t>
      </w:r>
      <w:r>
        <w:rPr>
          <w:rFonts w:ascii="Times New Roman" w:hAnsi="Times New Roman" w:cs="Times New Roman"/>
          <w:kern w:val="2"/>
          <w:sz w:val="21"/>
          <w:szCs w:val="24"/>
        </w:rPr>
        <w:t>工艺为：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粉碎、灭菌（一般采取湿热灭菌等灭菌方法），干燥，过筛（</w:t>
      </w:r>
      <w:r>
        <w:rPr>
          <w:rFonts w:ascii="Times New Roman" w:hAnsi="Times New Roman" w:cs="Times New Roman"/>
          <w:kern w:val="2"/>
          <w:sz w:val="21"/>
          <w:szCs w:val="24"/>
        </w:rPr>
        <w:t>8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0-100 目）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灵芝</w:t>
      </w:r>
      <w:r>
        <w:rPr>
          <w:rFonts w:ascii="Times New Roman" w:hAnsi="Times New Roman" w:cs="Times New Roman"/>
          <w:kern w:val="2"/>
          <w:sz w:val="21"/>
          <w:szCs w:val="24"/>
        </w:rPr>
        <w:t>经水提取的主要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参考</w:t>
      </w:r>
      <w:r>
        <w:rPr>
          <w:rFonts w:ascii="Times New Roman" w:hAnsi="Times New Roman" w:cs="Times New Roman"/>
          <w:kern w:val="2"/>
          <w:sz w:val="21"/>
          <w:szCs w:val="24"/>
        </w:rPr>
        <w:t>工艺为：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粉碎</w:t>
      </w:r>
      <w:r>
        <w:rPr>
          <w:rFonts w:ascii="Times New Roman" w:hAnsi="Times New Roman" w:cs="Times New Roman"/>
          <w:kern w:val="2"/>
          <w:sz w:val="21"/>
          <w:szCs w:val="24"/>
        </w:rPr>
        <w:t>、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过筛（10 目），水煎 2</w:t>
      </w:r>
      <w:r>
        <w:rPr>
          <w:rFonts w:ascii="Times New Roman" w:hAnsi="Times New Roman" w:cs="Times New Roman"/>
          <w:kern w:val="2"/>
          <w:sz w:val="21"/>
          <w:szCs w:val="24"/>
        </w:rPr>
        <w:t>-3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次（水量：</w:t>
      </w:r>
      <w:r>
        <w:rPr>
          <w:rFonts w:ascii="Times New Roman" w:hAnsi="Times New Roman" w:cs="Times New Roman"/>
          <w:kern w:val="2"/>
          <w:sz w:val="21"/>
          <w:szCs w:val="24"/>
        </w:rPr>
        <w:t>10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-1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倍，时间：1-2h），过滤（200目）</w:t>
      </w:r>
      <w:r>
        <w:rPr>
          <w:rFonts w:ascii="Times New Roman" w:hAnsi="Times New Roman" w:cs="Times New Roman"/>
          <w:kern w:val="2"/>
          <w:sz w:val="21"/>
          <w:szCs w:val="24"/>
        </w:rPr>
        <w:t>，浓缩，干燥</w:t>
      </w:r>
    </w:p>
    <w:p>
      <w:pPr>
        <w:widowControl w:val="0"/>
        <w:ind w:firstLine="560" w:firstLineChars="200"/>
        <w:jc w:val="center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——————————</w:t>
      </w:r>
    </w:p>
    <w:p>
      <w:pPr>
        <w:widowControl w:val="0"/>
        <w:ind w:firstLine="560" w:firstLineChars="200"/>
        <w:jc w:val="both"/>
        <w:rPr>
          <w:rFonts w:ascii="仿宋" w:hAnsi="仿宋" w:eastAsia="仿宋" w:cstheme="minorBidi"/>
          <w:kern w:val="2"/>
          <w:sz w:val="28"/>
          <w:szCs w:val="28"/>
        </w:rPr>
      </w:pPr>
    </w:p>
    <w:p/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34F43"/>
    <w:rsid w:val="1DA34F43"/>
    <w:rsid w:val="2CA6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 w:eastAsiaTheme="minorEastAsia"/>
      <w:kern w:val="0"/>
      <w:sz w:val="18"/>
      <w:szCs w:val="18"/>
      <w:lang w:val="en-US" w:eastAsia="zh-CN" w:bidi="ar-SA"/>
    </w:rPr>
  </w:style>
  <w:style w:type="table" w:styleId="4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2022-10-25T06:32:00Z</dcterms:created>
  <dc:creator>王丹</dc:creator>
  <cp:lastModifiedBy>王丹</cp:lastModifiedBy>
  <dcterms:modified xsi:type="dcterms:W3CDTF">2022-10-25T06:36:14Z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